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n-GB"/>
        </w:rPr>
        <w:id w:val="1237596902"/>
        <w:docPartObj>
          <w:docPartGallery w:val="Cover Pages"/>
          <w:docPartUnique/>
        </w:docPartObj>
      </w:sdtPr>
      <w:sdtEndPr/>
      <w:sdtContent>
        <w:p w14:paraId="130F8F20" w14:textId="77777777" w:rsidR="00A9303A" w:rsidRPr="00C45F68" w:rsidRDefault="00A9303A" w:rsidP="00C45F68">
          <w:pPr>
            <w:spacing w:after="140"/>
            <w:rPr>
              <w:lang w:val="en-GB"/>
            </w:rPr>
          </w:pPr>
          <w:r w:rsidRPr="00C45F68">
            <w:rPr>
              <w:lang w:val="en-GB"/>
            </w:rPr>
            <w:t xml:space="preserve"> </w:t>
          </w:r>
        </w:p>
        <w:tbl>
          <w:tblPr>
            <w:tblStyle w:val="Tabellrutenett"/>
            <w:tblpPr w:leftFromText="142" w:rightFromText="142" w:vertAnchor="page" w:horzAnchor="page" w:tblpX="1135" w:tblpY="568"/>
            <w:tblOverlap w:val="never"/>
            <w:tblW w:w="0" w:type="auto"/>
            <w:tblLook w:val="04A0" w:firstRow="1" w:lastRow="0" w:firstColumn="1" w:lastColumn="0" w:noHBand="0" w:noVBand="1"/>
          </w:tblPr>
          <w:tblGrid>
            <w:gridCol w:w="2466"/>
            <w:gridCol w:w="4851"/>
          </w:tblGrid>
          <w:tr w:rsidR="00A9303A" w:rsidRPr="005D2997" w14:paraId="130F8F23" w14:textId="77777777" w:rsidTr="00D45F30">
            <w:tc>
              <w:tcPr>
                <w:tcW w:w="2466" w:type="dxa"/>
              </w:tcPr>
              <w:p w14:paraId="130F8F21" w14:textId="77777777" w:rsidR="00A9303A" w:rsidRPr="005D2997" w:rsidRDefault="00A9303A" w:rsidP="00D45F30">
                <w:pPr>
                  <w:pStyle w:val="Brdtekst"/>
                  <w:tabs>
                    <w:tab w:val="left" w:pos="2466"/>
                  </w:tabs>
                  <w:rPr>
                    <w:sz w:val="20"/>
                    <w:szCs w:val="20"/>
                    <w:lang w:val="da-DK"/>
                  </w:rPr>
                </w:pPr>
              </w:p>
            </w:tc>
            <w:tc>
              <w:tcPr>
                <w:tcW w:w="4851" w:type="dxa"/>
              </w:tcPr>
              <w:p w14:paraId="130F8F22" w14:textId="77777777" w:rsidR="00A9303A" w:rsidRPr="005D2997" w:rsidRDefault="00A9303A" w:rsidP="00D45F30">
                <w:pPr>
                  <w:pStyle w:val="Brdtekst"/>
                  <w:tabs>
                    <w:tab w:val="left" w:pos="2466"/>
                  </w:tabs>
                  <w:rPr>
                    <w:sz w:val="20"/>
                    <w:szCs w:val="20"/>
                    <w:lang w:val="da-DK"/>
                  </w:rPr>
                </w:pPr>
              </w:p>
            </w:tc>
          </w:tr>
        </w:tbl>
        <w:sdt>
          <w:sdtPr>
            <w:rPr>
              <w:rFonts w:asciiTheme="majorHAnsi" w:eastAsiaTheme="majorEastAsia" w:hAnsiTheme="majorHAnsi" w:cstheme="majorBidi"/>
              <w:bCs/>
              <w:color w:val="999999"/>
              <w:sz w:val="40"/>
              <w:szCs w:val="40"/>
            </w:rPr>
            <w:alias w:val="Tittel"/>
            <w:tag w:val="Tittel"/>
            <w:id w:val="906340911"/>
            <w:text w:multiLine="1"/>
          </w:sdtPr>
          <w:sdtEndPr/>
          <w:sdtContent>
            <w:p w14:paraId="130F8F24" w14:textId="3D538824" w:rsidR="00A9303A" w:rsidRPr="00D60863" w:rsidRDefault="0087792D" w:rsidP="00896812">
              <w:pPr>
                <w:keepNext/>
                <w:keepLines/>
                <w:spacing w:after="220" w:line="560" w:lineRule="atLeast"/>
                <w:outlineLvl w:val="0"/>
                <w:rPr>
                  <w:rFonts w:asciiTheme="majorHAnsi" w:eastAsiaTheme="majorEastAsia" w:hAnsiTheme="majorHAnsi" w:cstheme="majorBidi"/>
                  <w:bCs/>
                  <w:color w:val="999999"/>
                  <w:sz w:val="48"/>
                  <w:szCs w:val="28"/>
                </w:rPr>
              </w:pPr>
              <w:r w:rsidRPr="0087792D">
                <w:rPr>
                  <w:rFonts w:asciiTheme="majorHAnsi" w:eastAsiaTheme="majorEastAsia" w:hAnsiTheme="majorHAnsi" w:cstheme="majorBidi"/>
                  <w:bCs/>
                  <w:color w:val="999999"/>
                  <w:sz w:val="40"/>
                  <w:szCs w:val="40"/>
                </w:rPr>
                <w:t>Pilar 3 – Offentliggjøring av informasjon om kapital og risikoforhold</w:t>
              </w:r>
            </w:p>
          </w:sdtContent>
        </w:sdt>
        <w:sdt>
          <w:sdtPr>
            <w:rPr>
              <w:b/>
              <w:color w:val="999999"/>
              <w:sz w:val="28"/>
              <w:szCs w:val="28"/>
            </w:rPr>
            <w:alias w:val="Undertittel"/>
            <w:tag w:val="Undertittel"/>
            <w:id w:val="586272549"/>
            <w:text w:multiLine="1"/>
          </w:sdtPr>
          <w:sdtEndPr/>
          <w:sdtContent>
            <w:p w14:paraId="130F8F25" w14:textId="4A9F03C8" w:rsidR="00A9303A" w:rsidRPr="00094CC3" w:rsidRDefault="00094CC3" w:rsidP="00C45F68">
              <w:pPr>
                <w:rPr>
                  <w:b/>
                  <w:color w:val="999999"/>
                  <w:sz w:val="28"/>
                  <w:szCs w:val="28"/>
                </w:rPr>
              </w:pPr>
              <w:r w:rsidRPr="00094CC3">
                <w:rPr>
                  <w:b/>
                  <w:color w:val="999999"/>
                  <w:sz w:val="28"/>
                  <w:szCs w:val="28"/>
                </w:rPr>
                <w:t>31. desember 20</w:t>
              </w:r>
              <w:r w:rsidR="003B038E">
                <w:rPr>
                  <w:b/>
                  <w:color w:val="999999"/>
                  <w:sz w:val="28"/>
                  <w:szCs w:val="28"/>
                </w:rPr>
                <w:t>20</w:t>
              </w:r>
            </w:p>
          </w:sdtContent>
        </w:sdt>
        <w:p w14:paraId="130F8F26" w14:textId="1B16B2D0" w:rsidR="00A9303A" w:rsidRPr="00094CC3" w:rsidRDefault="003B038E" w:rsidP="009A2C26">
          <w:r>
            <w:rPr>
              <w:noProof/>
              <w:lang w:eastAsia="nb-NO"/>
            </w:rPr>
            <w:drawing>
              <wp:anchor distT="0" distB="0" distL="114300" distR="114300" simplePos="0" relativeHeight="251660288" behindDoc="0" locked="0" layoutInCell="1" allowOverlap="1" wp14:anchorId="50D6896A" wp14:editId="0B667A14">
                <wp:simplePos x="0" y="0"/>
                <wp:positionH relativeFrom="column">
                  <wp:posOffset>356235</wp:posOffset>
                </wp:positionH>
                <wp:positionV relativeFrom="paragraph">
                  <wp:posOffset>4361815</wp:posOffset>
                </wp:positionV>
                <wp:extent cx="2401570" cy="2389505"/>
                <wp:effectExtent l="0" t="0" r="0"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1570" cy="2389505"/>
                        </a:xfrm>
                        <a:prstGeom prst="rect">
                          <a:avLst/>
                        </a:prstGeom>
                      </pic:spPr>
                    </pic:pic>
                  </a:graphicData>
                </a:graphic>
              </wp:anchor>
            </w:drawing>
          </w:r>
          <w:r w:rsidR="00A9303A" w:rsidRPr="00C45F68">
            <w:rPr>
              <w:noProof/>
              <w:lang w:eastAsia="nb-NO"/>
            </w:rPr>
            <mc:AlternateContent>
              <mc:Choice Requires="wps">
                <w:drawing>
                  <wp:anchor distT="0" distB="0" distL="114300" distR="114300" simplePos="0" relativeHeight="251659264" behindDoc="0" locked="0" layoutInCell="1" allowOverlap="1" wp14:anchorId="130F8FCE" wp14:editId="130F8FCF">
                    <wp:simplePos x="0" y="0"/>
                    <wp:positionH relativeFrom="page">
                      <wp:posOffset>251142</wp:posOffset>
                    </wp:positionH>
                    <wp:positionV relativeFrom="page">
                      <wp:posOffset>3478658</wp:posOffset>
                    </wp:positionV>
                    <wp:extent cx="7055485" cy="6875780"/>
                    <wp:effectExtent l="0" t="5397" r="6667" b="6668"/>
                    <wp:wrapNone/>
                    <wp:docPr id="4" name="Round Single Corner Rectangle 2"/>
                    <wp:cNvGraphicFramePr/>
                    <a:graphic xmlns:a="http://schemas.openxmlformats.org/drawingml/2006/main">
                      <a:graphicData uri="http://schemas.microsoft.com/office/word/2010/wordprocessingShape">
                        <wps:wsp>
                          <wps:cNvSpPr/>
                          <wps:spPr>
                            <a:xfrm rot="5400000">
                              <a:off x="0" y="0"/>
                              <a:ext cx="7055485" cy="6875780"/>
                            </a:xfrm>
                            <a:prstGeom prst="round1Rect">
                              <a:avLst/>
                            </a:prstGeom>
                            <a:solidFill>
                              <a:srgbClr val="84BD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C9905" id="Round Single Corner Rectangle 2" o:spid="_x0000_s1026" style="position:absolute;margin-left:19.75pt;margin-top:273.9pt;width:555.55pt;height:541.4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55485,687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" path="m,l5909499,v632911,,1145986,513075,1145986,1145986l7055485,6875780,,6875780,,xe" fillcolor="#84bd00" stroked="f" strokeweight="2pt">
                    <v:path arrowok="t" o:connecttype="custom" o:connectlocs="0,0;5909499,0;7055485,1145986;7055485,6875780;0,6875780;0,0" o:connectangles="0,0,0,0,0,0"/>
                    <w10:wrap anchorx="page" anchory="page"/>
                  </v:shape>
                </w:pict>
              </mc:Fallback>
            </mc:AlternateContent>
          </w:r>
        </w:p>
      </w:sdtContent>
    </w:sdt>
    <w:p w14:paraId="130F8F27" w14:textId="77777777" w:rsidR="00B10737" w:rsidRDefault="00B10737" w:rsidP="00B10737">
      <w:pPr>
        <w:rPr>
          <w:lang w:val="da-DK"/>
        </w:rPr>
        <w:sectPr w:rsidR="00B10737" w:rsidSect="00297FFD">
          <w:headerReference w:type="default" r:id="rId13"/>
          <w:footerReference w:type="default" r:id="rId14"/>
          <w:headerReference w:type="first" r:id="rId15"/>
          <w:pgSz w:w="11906" w:h="16838"/>
          <w:pgMar w:top="1985" w:right="1134" w:bottom="851" w:left="1134" w:header="567" w:footer="340" w:gutter="0"/>
          <w:pgNumType w:start="0"/>
          <w:cols w:space="708"/>
          <w:titlePg/>
          <w:docGrid w:linePitch="360"/>
        </w:sectPr>
      </w:pPr>
    </w:p>
    <w:sdt>
      <w:sdtPr>
        <w:rPr>
          <w:rFonts w:asciiTheme="minorHAnsi" w:eastAsiaTheme="minorHAnsi" w:hAnsiTheme="minorHAnsi" w:cstheme="minorBidi"/>
          <w:b w:val="0"/>
          <w:bCs w:val="0"/>
          <w:caps w:val="0"/>
          <w:color w:val="auto"/>
          <w:sz w:val="18"/>
          <w:szCs w:val="22"/>
        </w:rPr>
        <w:id w:val="1351138998"/>
        <w:docPartObj>
          <w:docPartGallery w:val="Table of Contents"/>
          <w:docPartUnique/>
        </w:docPartObj>
      </w:sdtPr>
      <w:sdtEndPr/>
      <w:sdtContent>
        <w:p w14:paraId="130F8F28" w14:textId="77777777" w:rsidR="00953498" w:rsidRDefault="00953498">
          <w:pPr>
            <w:pStyle w:val="Overskriftforinnholdsfortegnelse"/>
          </w:pPr>
          <w:r>
            <w:t>Innholdsfortegnelse</w:t>
          </w:r>
        </w:p>
        <w:p w14:paraId="77FC7962" w14:textId="40F139E1" w:rsidR="00B8301A" w:rsidRDefault="00953498">
          <w:pPr>
            <w:pStyle w:val="INNH1"/>
            <w:rPr>
              <w:rFonts w:eastAsiaTheme="minorEastAsia"/>
              <w:caps w:val="0"/>
              <w:sz w:val="22"/>
              <w:lang w:val="nb-NO" w:eastAsia="nb-NO"/>
            </w:rPr>
          </w:pPr>
          <w:r>
            <w:fldChar w:fldCharType="begin"/>
          </w:r>
          <w:r>
            <w:instrText xml:space="preserve"> TOC \o "1-3" \h \z \u </w:instrText>
          </w:r>
          <w:r>
            <w:fldChar w:fldCharType="separate"/>
          </w:r>
          <w:hyperlink w:anchor="_Toc62640317" w:history="1"/>
        </w:p>
        <w:p w14:paraId="2BC9A7BA" w14:textId="0C90D393" w:rsidR="00B8301A" w:rsidRDefault="007B0BCD">
          <w:pPr>
            <w:pStyle w:val="INNH2"/>
            <w:rPr>
              <w:rFonts w:eastAsiaTheme="minorEastAsia"/>
              <w:noProof/>
              <w:sz w:val="22"/>
              <w:lang w:eastAsia="nb-NO"/>
            </w:rPr>
          </w:pPr>
          <w:hyperlink w:anchor="_Toc62640318" w:history="1">
            <w:r w:rsidR="00B8301A" w:rsidRPr="00371855">
              <w:rPr>
                <w:rStyle w:val="Hyperkobling"/>
                <w:noProof/>
                <w:lang w:val="da-DK"/>
              </w:rPr>
              <w:t>1.</w:t>
            </w:r>
            <w:r w:rsidR="00B8301A">
              <w:rPr>
                <w:rFonts w:eastAsiaTheme="minorEastAsia"/>
                <w:noProof/>
                <w:sz w:val="22"/>
                <w:lang w:eastAsia="nb-NO"/>
              </w:rPr>
              <w:tab/>
            </w:r>
            <w:r w:rsidR="00B8301A" w:rsidRPr="00371855">
              <w:rPr>
                <w:rStyle w:val="Hyperkobling"/>
                <w:noProof/>
                <w:lang w:val="da-DK"/>
              </w:rPr>
              <w:t>Innledning og formål med dokumentet</w:t>
            </w:r>
            <w:r w:rsidR="00B8301A">
              <w:rPr>
                <w:noProof/>
                <w:webHidden/>
              </w:rPr>
              <w:tab/>
            </w:r>
            <w:r w:rsidR="00B8301A">
              <w:rPr>
                <w:noProof/>
                <w:webHidden/>
              </w:rPr>
              <w:fldChar w:fldCharType="begin"/>
            </w:r>
            <w:r w:rsidR="00B8301A">
              <w:rPr>
                <w:noProof/>
                <w:webHidden/>
              </w:rPr>
              <w:instrText xml:space="preserve"> PAGEREF _Toc62640318 \h </w:instrText>
            </w:r>
            <w:r w:rsidR="00B8301A">
              <w:rPr>
                <w:noProof/>
                <w:webHidden/>
              </w:rPr>
            </w:r>
            <w:r w:rsidR="00B8301A">
              <w:rPr>
                <w:noProof/>
                <w:webHidden/>
              </w:rPr>
              <w:fldChar w:fldCharType="separate"/>
            </w:r>
            <w:r w:rsidR="00B8301A">
              <w:rPr>
                <w:noProof/>
                <w:webHidden/>
              </w:rPr>
              <w:t>2</w:t>
            </w:r>
            <w:r w:rsidR="00B8301A">
              <w:rPr>
                <w:noProof/>
                <w:webHidden/>
              </w:rPr>
              <w:fldChar w:fldCharType="end"/>
            </w:r>
          </w:hyperlink>
        </w:p>
        <w:p w14:paraId="72345F9C" w14:textId="527E64A8" w:rsidR="00B8301A" w:rsidRDefault="007B0BCD">
          <w:pPr>
            <w:pStyle w:val="INNH2"/>
            <w:rPr>
              <w:rFonts w:eastAsiaTheme="minorEastAsia"/>
              <w:noProof/>
              <w:sz w:val="22"/>
              <w:lang w:eastAsia="nb-NO"/>
            </w:rPr>
          </w:pPr>
          <w:hyperlink w:anchor="_Toc62640319" w:history="1">
            <w:r w:rsidR="00B8301A" w:rsidRPr="00371855">
              <w:rPr>
                <w:rStyle w:val="Hyperkobling"/>
                <w:noProof/>
              </w:rPr>
              <w:t>2.</w:t>
            </w:r>
            <w:r w:rsidR="00B8301A">
              <w:rPr>
                <w:rFonts w:eastAsiaTheme="minorEastAsia"/>
                <w:noProof/>
                <w:sz w:val="22"/>
                <w:lang w:eastAsia="nb-NO"/>
              </w:rPr>
              <w:tab/>
            </w:r>
            <w:r w:rsidR="00B8301A" w:rsidRPr="00371855">
              <w:rPr>
                <w:rStyle w:val="Hyperkobling"/>
                <w:noProof/>
              </w:rPr>
              <w:t>Konsolidering</w:t>
            </w:r>
            <w:r w:rsidR="00B8301A">
              <w:rPr>
                <w:noProof/>
                <w:webHidden/>
              </w:rPr>
              <w:tab/>
            </w:r>
            <w:r w:rsidR="00B8301A">
              <w:rPr>
                <w:noProof/>
                <w:webHidden/>
              </w:rPr>
              <w:fldChar w:fldCharType="begin"/>
            </w:r>
            <w:r w:rsidR="00B8301A">
              <w:rPr>
                <w:noProof/>
                <w:webHidden/>
              </w:rPr>
              <w:instrText xml:space="preserve"> PAGEREF _Toc62640319 \h </w:instrText>
            </w:r>
            <w:r w:rsidR="00B8301A">
              <w:rPr>
                <w:noProof/>
                <w:webHidden/>
              </w:rPr>
            </w:r>
            <w:r w:rsidR="00B8301A">
              <w:rPr>
                <w:noProof/>
                <w:webHidden/>
              </w:rPr>
              <w:fldChar w:fldCharType="separate"/>
            </w:r>
            <w:r w:rsidR="00B8301A">
              <w:rPr>
                <w:noProof/>
                <w:webHidden/>
              </w:rPr>
              <w:t>2</w:t>
            </w:r>
            <w:r w:rsidR="00B8301A">
              <w:rPr>
                <w:noProof/>
                <w:webHidden/>
              </w:rPr>
              <w:fldChar w:fldCharType="end"/>
            </w:r>
          </w:hyperlink>
        </w:p>
        <w:p w14:paraId="5E44EA17" w14:textId="324D06A8" w:rsidR="00B8301A" w:rsidRDefault="007B0BCD">
          <w:pPr>
            <w:pStyle w:val="INNH3"/>
            <w:rPr>
              <w:rFonts w:eastAsiaTheme="minorEastAsia"/>
              <w:noProof/>
              <w:sz w:val="22"/>
              <w:lang w:eastAsia="nb-NO"/>
            </w:rPr>
          </w:pPr>
          <w:hyperlink w:anchor="_Toc62640320" w:history="1">
            <w:r w:rsidR="00B8301A" w:rsidRPr="00371855">
              <w:rPr>
                <w:rStyle w:val="Hyperkobling"/>
                <w:noProof/>
              </w:rPr>
              <w:t>2.1</w:t>
            </w:r>
            <w:r w:rsidR="00B8301A">
              <w:rPr>
                <w:rFonts w:eastAsiaTheme="minorEastAsia"/>
                <w:noProof/>
                <w:sz w:val="22"/>
                <w:lang w:eastAsia="nb-NO"/>
              </w:rPr>
              <w:tab/>
            </w:r>
            <w:r w:rsidR="00B8301A" w:rsidRPr="00371855">
              <w:rPr>
                <w:rStyle w:val="Hyperkobling"/>
                <w:noProof/>
              </w:rPr>
              <w:t>Oversikt over datterselskaper, tilknyttede selskaper mv</w:t>
            </w:r>
            <w:r w:rsidR="00B8301A">
              <w:rPr>
                <w:noProof/>
                <w:webHidden/>
              </w:rPr>
              <w:tab/>
            </w:r>
            <w:r w:rsidR="00B8301A">
              <w:rPr>
                <w:noProof/>
                <w:webHidden/>
              </w:rPr>
              <w:fldChar w:fldCharType="begin"/>
            </w:r>
            <w:r w:rsidR="00B8301A">
              <w:rPr>
                <w:noProof/>
                <w:webHidden/>
              </w:rPr>
              <w:instrText xml:space="preserve"> PAGEREF _Toc62640320 \h </w:instrText>
            </w:r>
            <w:r w:rsidR="00B8301A">
              <w:rPr>
                <w:noProof/>
                <w:webHidden/>
              </w:rPr>
            </w:r>
            <w:r w:rsidR="00B8301A">
              <w:rPr>
                <w:noProof/>
                <w:webHidden/>
              </w:rPr>
              <w:fldChar w:fldCharType="separate"/>
            </w:r>
            <w:r w:rsidR="00B8301A">
              <w:rPr>
                <w:noProof/>
                <w:webHidden/>
              </w:rPr>
              <w:t>2</w:t>
            </w:r>
            <w:r w:rsidR="00B8301A">
              <w:rPr>
                <w:noProof/>
                <w:webHidden/>
              </w:rPr>
              <w:fldChar w:fldCharType="end"/>
            </w:r>
          </w:hyperlink>
        </w:p>
        <w:p w14:paraId="14D56F77" w14:textId="0F8BE490" w:rsidR="00B8301A" w:rsidRDefault="007B0BCD">
          <w:pPr>
            <w:pStyle w:val="INNH3"/>
            <w:rPr>
              <w:rFonts w:eastAsiaTheme="minorEastAsia"/>
              <w:noProof/>
              <w:sz w:val="22"/>
              <w:lang w:eastAsia="nb-NO"/>
            </w:rPr>
          </w:pPr>
          <w:hyperlink w:anchor="_Toc62640321" w:history="1">
            <w:r w:rsidR="00B8301A" w:rsidRPr="00371855">
              <w:rPr>
                <w:rStyle w:val="Hyperkobling"/>
                <w:noProof/>
              </w:rPr>
              <w:t>2.2</w:t>
            </w:r>
            <w:r w:rsidR="00B8301A">
              <w:rPr>
                <w:rFonts w:eastAsiaTheme="minorEastAsia"/>
                <w:noProof/>
                <w:sz w:val="22"/>
                <w:lang w:eastAsia="nb-NO"/>
              </w:rPr>
              <w:tab/>
            </w:r>
            <w:r w:rsidR="00B8301A" w:rsidRPr="00371855">
              <w:rPr>
                <w:rStyle w:val="Hyperkobling"/>
                <w:noProof/>
              </w:rPr>
              <w:t>Forskjeller mellom regnskapsmessig konsolidering og konsolidering etter kapitaldekningsbestemmelsene</w:t>
            </w:r>
            <w:r w:rsidR="00B8301A">
              <w:rPr>
                <w:noProof/>
                <w:webHidden/>
              </w:rPr>
              <w:tab/>
            </w:r>
            <w:r w:rsidR="00B8301A">
              <w:rPr>
                <w:noProof/>
                <w:webHidden/>
              </w:rPr>
              <w:fldChar w:fldCharType="begin"/>
            </w:r>
            <w:r w:rsidR="00B8301A">
              <w:rPr>
                <w:noProof/>
                <w:webHidden/>
              </w:rPr>
              <w:instrText xml:space="preserve"> PAGEREF _Toc62640321 \h </w:instrText>
            </w:r>
            <w:r w:rsidR="00B8301A">
              <w:rPr>
                <w:noProof/>
                <w:webHidden/>
              </w:rPr>
            </w:r>
            <w:r w:rsidR="00B8301A">
              <w:rPr>
                <w:noProof/>
                <w:webHidden/>
              </w:rPr>
              <w:fldChar w:fldCharType="separate"/>
            </w:r>
            <w:r w:rsidR="00B8301A">
              <w:rPr>
                <w:noProof/>
                <w:webHidden/>
              </w:rPr>
              <w:t>3</w:t>
            </w:r>
            <w:r w:rsidR="00B8301A">
              <w:rPr>
                <w:noProof/>
                <w:webHidden/>
              </w:rPr>
              <w:fldChar w:fldCharType="end"/>
            </w:r>
          </w:hyperlink>
        </w:p>
        <w:p w14:paraId="5B21EC6A" w14:textId="52B03C63" w:rsidR="00B8301A" w:rsidRDefault="007B0BCD">
          <w:pPr>
            <w:pStyle w:val="INNH2"/>
            <w:rPr>
              <w:rFonts w:eastAsiaTheme="minorEastAsia"/>
              <w:noProof/>
              <w:sz w:val="22"/>
              <w:lang w:eastAsia="nb-NO"/>
            </w:rPr>
          </w:pPr>
          <w:hyperlink w:anchor="_Toc62640322" w:history="1">
            <w:r w:rsidR="00B8301A" w:rsidRPr="00371855">
              <w:rPr>
                <w:rStyle w:val="Hyperkobling"/>
                <w:noProof/>
              </w:rPr>
              <w:t>3.</w:t>
            </w:r>
            <w:r w:rsidR="00B8301A">
              <w:rPr>
                <w:rFonts w:eastAsiaTheme="minorEastAsia"/>
                <w:noProof/>
                <w:sz w:val="22"/>
                <w:lang w:eastAsia="nb-NO"/>
              </w:rPr>
              <w:tab/>
            </w:r>
            <w:r w:rsidR="00B8301A" w:rsidRPr="00371855">
              <w:rPr>
                <w:rStyle w:val="Hyperkobling"/>
                <w:noProof/>
              </w:rPr>
              <w:t>Kapitalkrav</w:t>
            </w:r>
            <w:r w:rsidR="00B8301A">
              <w:rPr>
                <w:noProof/>
                <w:webHidden/>
              </w:rPr>
              <w:tab/>
            </w:r>
            <w:r w:rsidR="00B8301A">
              <w:rPr>
                <w:noProof/>
                <w:webHidden/>
              </w:rPr>
              <w:fldChar w:fldCharType="begin"/>
            </w:r>
            <w:r w:rsidR="00B8301A">
              <w:rPr>
                <w:noProof/>
                <w:webHidden/>
              </w:rPr>
              <w:instrText xml:space="preserve"> PAGEREF _Toc62640322 \h </w:instrText>
            </w:r>
            <w:r w:rsidR="00B8301A">
              <w:rPr>
                <w:noProof/>
                <w:webHidden/>
              </w:rPr>
            </w:r>
            <w:r w:rsidR="00B8301A">
              <w:rPr>
                <w:noProof/>
                <w:webHidden/>
              </w:rPr>
              <w:fldChar w:fldCharType="separate"/>
            </w:r>
            <w:r w:rsidR="00B8301A">
              <w:rPr>
                <w:noProof/>
                <w:webHidden/>
              </w:rPr>
              <w:t>3</w:t>
            </w:r>
            <w:r w:rsidR="00B8301A">
              <w:rPr>
                <w:noProof/>
                <w:webHidden/>
              </w:rPr>
              <w:fldChar w:fldCharType="end"/>
            </w:r>
          </w:hyperlink>
        </w:p>
        <w:p w14:paraId="3F778396" w14:textId="46408D2A" w:rsidR="00B8301A" w:rsidRDefault="007B0BCD">
          <w:pPr>
            <w:pStyle w:val="INNH3"/>
            <w:rPr>
              <w:rFonts w:eastAsiaTheme="minorEastAsia"/>
              <w:noProof/>
              <w:sz w:val="22"/>
              <w:lang w:eastAsia="nb-NO"/>
            </w:rPr>
          </w:pPr>
          <w:hyperlink w:anchor="_Toc62640323" w:history="1">
            <w:r w:rsidR="00B8301A" w:rsidRPr="00371855">
              <w:rPr>
                <w:rStyle w:val="Hyperkobling"/>
                <w:noProof/>
              </w:rPr>
              <w:t>3.1</w:t>
            </w:r>
            <w:r w:rsidR="00B8301A">
              <w:rPr>
                <w:rFonts w:eastAsiaTheme="minorEastAsia"/>
                <w:noProof/>
                <w:sz w:val="22"/>
                <w:lang w:eastAsia="nb-NO"/>
              </w:rPr>
              <w:tab/>
            </w:r>
            <w:r w:rsidR="00B8301A" w:rsidRPr="00371855">
              <w:rPr>
                <w:rStyle w:val="Hyperkobling"/>
                <w:noProof/>
              </w:rPr>
              <w:t>Ansvarlig kapital og kapitalkrav</w:t>
            </w:r>
            <w:r w:rsidR="00B8301A">
              <w:rPr>
                <w:noProof/>
                <w:webHidden/>
              </w:rPr>
              <w:tab/>
            </w:r>
            <w:r w:rsidR="00B8301A">
              <w:rPr>
                <w:noProof/>
                <w:webHidden/>
              </w:rPr>
              <w:fldChar w:fldCharType="begin"/>
            </w:r>
            <w:r w:rsidR="00B8301A">
              <w:rPr>
                <w:noProof/>
                <w:webHidden/>
              </w:rPr>
              <w:instrText xml:space="preserve"> PAGEREF _Toc62640323 \h </w:instrText>
            </w:r>
            <w:r w:rsidR="00B8301A">
              <w:rPr>
                <w:noProof/>
                <w:webHidden/>
              </w:rPr>
            </w:r>
            <w:r w:rsidR="00B8301A">
              <w:rPr>
                <w:noProof/>
                <w:webHidden/>
              </w:rPr>
              <w:fldChar w:fldCharType="separate"/>
            </w:r>
            <w:r w:rsidR="00B8301A">
              <w:rPr>
                <w:noProof/>
                <w:webHidden/>
              </w:rPr>
              <w:t>3</w:t>
            </w:r>
            <w:r w:rsidR="00B8301A">
              <w:rPr>
                <w:noProof/>
                <w:webHidden/>
              </w:rPr>
              <w:fldChar w:fldCharType="end"/>
            </w:r>
          </w:hyperlink>
        </w:p>
        <w:p w14:paraId="66FFEC9A" w14:textId="72671FA8" w:rsidR="00B8301A" w:rsidRDefault="007B0BCD">
          <w:pPr>
            <w:pStyle w:val="INNH3"/>
            <w:rPr>
              <w:rFonts w:eastAsiaTheme="minorEastAsia"/>
              <w:noProof/>
              <w:sz w:val="22"/>
              <w:lang w:eastAsia="nb-NO"/>
            </w:rPr>
          </w:pPr>
          <w:hyperlink w:anchor="_Toc62640324" w:history="1">
            <w:r w:rsidR="00B8301A" w:rsidRPr="00371855">
              <w:rPr>
                <w:rStyle w:val="Hyperkobling"/>
                <w:noProof/>
              </w:rPr>
              <w:t>3.2</w:t>
            </w:r>
            <w:r w:rsidR="00B8301A">
              <w:rPr>
                <w:rFonts w:eastAsiaTheme="minorEastAsia"/>
                <w:noProof/>
                <w:sz w:val="22"/>
                <w:lang w:eastAsia="nb-NO"/>
              </w:rPr>
              <w:tab/>
            </w:r>
            <w:r w:rsidR="00B8301A" w:rsidRPr="00371855">
              <w:rPr>
                <w:rStyle w:val="Hyperkobling"/>
                <w:noProof/>
              </w:rPr>
              <w:t>Bufferkrav</w:t>
            </w:r>
            <w:r w:rsidR="00B8301A">
              <w:rPr>
                <w:noProof/>
                <w:webHidden/>
              </w:rPr>
              <w:tab/>
            </w:r>
            <w:r w:rsidR="00B8301A">
              <w:rPr>
                <w:noProof/>
                <w:webHidden/>
              </w:rPr>
              <w:fldChar w:fldCharType="begin"/>
            </w:r>
            <w:r w:rsidR="00B8301A">
              <w:rPr>
                <w:noProof/>
                <w:webHidden/>
              </w:rPr>
              <w:instrText xml:space="preserve"> PAGEREF _Toc62640324 \h </w:instrText>
            </w:r>
            <w:r w:rsidR="00B8301A">
              <w:rPr>
                <w:noProof/>
                <w:webHidden/>
              </w:rPr>
            </w:r>
            <w:r w:rsidR="00B8301A">
              <w:rPr>
                <w:noProof/>
                <w:webHidden/>
              </w:rPr>
              <w:fldChar w:fldCharType="separate"/>
            </w:r>
            <w:r w:rsidR="00B8301A">
              <w:rPr>
                <w:noProof/>
                <w:webHidden/>
              </w:rPr>
              <w:t>5</w:t>
            </w:r>
            <w:r w:rsidR="00B8301A">
              <w:rPr>
                <w:noProof/>
                <w:webHidden/>
              </w:rPr>
              <w:fldChar w:fldCharType="end"/>
            </w:r>
          </w:hyperlink>
        </w:p>
        <w:p w14:paraId="0324CB5B" w14:textId="7BFA9900" w:rsidR="00B8301A" w:rsidRDefault="007B0BCD">
          <w:pPr>
            <w:pStyle w:val="INNH3"/>
            <w:rPr>
              <w:rFonts w:eastAsiaTheme="minorEastAsia"/>
              <w:noProof/>
              <w:sz w:val="22"/>
              <w:lang w:eastAsia="nb-NO"/>
            </w:rPr>
          </w:pPr>
          <w:hyperlink w:anchor="_Toc62640325" w:history="1">
            <w:r w:rsidR="00B8301A" w:rsidRPr="00371855">
              <w:rPr>
                <w:rStyle w:val="Hyperkobling"/>
                <w:noProof/>
              </w:rPr>
              <w:t>3.3</w:t>
            </w:r>
            <w:r w:rsidR="00B8301A">
              <w:rPr>
                <w:rFonts w:eastAsiaTheme="minorEastAsia"/>
                <w:noProof/>
                <w:sz w:val="22"/>
                <w:lang w:eastAsia="nb-NO"/>
              </w:rPr>
              <w:tab/>
            </w:r>
            <w:r w:rsidR="00B8301A" w:rsidRPr="00371855">
              <w:rPr>
                <w:rStyle w:val="Hyperkobling"/>
                <w:noProof/>
              </w:rPr>
              <w:t>Uvektet kjernekapitalandel</w:t>
            </w:r>
            <w:r w:rsidR="00B8301A">
              <w:rPr>
                <w:noProof/>
                <w:webHidden/>
              </w:rPr>
              <w:tab/>
            </w:r>
            <w:r w:rsidR="00B8301A">
              <w:rPr>
                <w:noProof/>
                <w:webHidden/>
              </w:rPr>
              <w:fldChar w:fldCharType="begin"/>
            </w:r>
            <w:r w:rsidR="00B8301A">
              <w:rPr>
                <w:noProof/>
                <w:webHidden/>
              </w:rPr>
              <w:instrText xml:space="preserve"> PAGEREF _Toc62640325 \h </w:instrText>
            </w:r>
            <w:r w:rsidR="00B8301A">
              <w:rPr>
                <w:noProof/>
                <w:webHidden/>
              </w:rPr>
            </w:r>
            <w:r w:rsidR="00B8301A">
              <w:rPr>
                <w:noProof/>
                <w:webHidden/>
              </w:rPr>
              <w:fldChar w:fldCharType="separate"/>
            </w:r>
            <w:r w:rsidR="00B8301A">
              <w:rPr>
                <w:noProof/>
                <w:webHidden/>
              </w:rPr>
              <w:t>6</w:t>
            </w:r>
            <w:r w:rsidR="00B8301A">
              <w:rPr>
                <w:noProof/>
                <w:webHidden/>
              </w:rPr>
              <w:fldChar w:fldCharType="end"/>
            </w:r>
          </w:hyperlink>
        </w:p>
        <w:p w14:paraId="359A1BC1" w14:textId="0F9A8FC5" w:rsidR="00B8301A" w:rsidRDefault="007B0BCD">
          <w:pPr>
            <w:pStyle w:val="INNH2"/>
            <w:rPr>
              <w:rFonts w:eastAsiaTheme="minorEastAsia"/>
              <w:noProof/>
              <w:sz w:val="22"/>
              <w:lang w:eastAsia="nb-NO"/>
            </w:rPr>
          </w:pPr>
          <w:hyperlink w:anchor="_Toc62640326" w:history="1">
            <w:r w:rsidR="00B8301A" w:rsidRPr="00371855">
              <w:rPr>
                <w:rStyle w:val="Hyperkobling"/>
                <w:noProof/>
              </w:rPr>
              <w:t>4.</w:t>
            </w:r>
            <w:r w:rsidR="00B8301A">
              <w:rPr>
                <w:rFonts w:eastAsiaTheme="minorEastAsia"/>
                <w:noProof/>
                <w:sz w:val="22"/>
                <w:lang w:eastAsia="nb-NO"/>
              </w:rPr>
              <w:tab/>
            </w:r>
            <w:r w:rsidR="00B8301A" w:rsidRPr="00371855">
              <w:rPr>
                <w:rStyle w:val="Hyperkobling"/>
                <w:noProof/>
              </w:rPr>
              <w:t>Kredittrisiko og motpartsrisiko</w:t>
            </w:r>
            <w:r w:rsidR="00B8301A">
              <w:rPr>
                <w:noProof/>
                <w:webHidden/>
              </w:rPr>
              <w:tab/>
            </w:r>
            <w:r w:rsidR="00B8301A">
              <w:rPr>
                <w:noProof/>
                <w:webHidden/>
              </w:rPr>
              <w:fldChar w:fldCharType="begin"/>
            </w:r>
            <w:r w:rsidR="00B8301A">
              <w:rPr>
                <w:noProof/>
                <w:webHidden/>
              </w:rPr>
              <w:instrText xml:space="preserve"> PAGEREF _Toc62640326 \h </w:instrText>
            </w:r>
            <w:r w:rsidR="00B8301A">
              <w:rPr>
                <w:noProof/>
                <w:webHidden/>
              </w:rPr>
            </w:r>
            <w:r w:rsidR="00B8301A">
              <w:rPr>
                <w:noProof/>
                <w:webHidden/>
              </w:rPr>
              <w:fldChar w:fldCharType="separate"/>
            </w:r>
            <w:r w:rsidR="00B8301A">
              <w:rPr>
                <w:noProof/>
                <w:webHidden/>
              </w:rPr>
              <w:t>7</w:t>
            </w:r>
            <w:r w:rsidR="00B8301A">
              <w:rPr>
                <w:noProof/>
                <w:webHidden/>
              </w:rPr>
              <w:fldChar w:fldCharType="end"/>
            </w:r>
          </w:hyperlink>
        </w:p>
        <w:p w14:paraId="74278FB5" w14:textId="2F3AD098" w:rsidR="00B8301A" w:rsidRDefault="007B0BCD">
          <w:pPr>
            <w:pStyle w:val="INNH3"/>
            <w:rPr>
              <w:rFonts w:eastAsiaTheme="minorEastAsia"/>
              <w:noProof/>
              <w:sz w:val="22"/>
              <w:lang w:eastAsia="nb-NO"/>
            </w:rPr>
          </w:pPr>
          <w:hyperlink w:anchor="_Toc62640327" w:history="1">
            <w:r w:rsidR="00B8301A" w:rsidRPr="00371855">
              <w:rPr>
                <w:rStyle w:val="Hyperkobling"/>
                <w:noProof/>
              </w:rPr>
              <w:t>4.1</w:t>
            </w:r>
            <w:r w:rsidR="00B8301A">
              <w:rPr>
                <w:rFonts w:eastAsiaTheme="minorEastAsia"/>
                <w:noProof/>
                <w:sz w:val="22"/>
                <w:lang w:eastAsia="nb-NO"/>
              </w:rPr>
              <w:tab/>
            </w:r>
            <w:r w:rsidR="00B8301A" w:rsidRPr="00371855">
              <w:rPr>
                <w:rStyle w:val="Hyperkobling"/>
                <w:noProof/>
              </w:rPr>
              <w:t>Definisjon misligholdte engasjement:</w:t>
            </w:r>
            <w:r w:rsidR="00B8301A">
              <w:rPr>
                <w:noProof/>
                <w:webHidden/>
              </w:rPr>
              <w:tab/>
            </w:r>
            <w:r w:rsidR="00B8301A">
              <w:rPr>
                <w:noProof/>
                <w:webHidden/>
              </w:rPr>
              <w:fldChar w:fldCharType="begin"/>
            </w:r>
            <w:r w:rsidR="00B8301A">
              <w:rPr>
                <w:noProof/>
                <w:webHidden/>
              </w:rPr>
              <w:instrText xml:space="preserve"> PAGEREF _Toc62640327 \h </w:instrText>
            </w:r>
            <w:r w:rsidR="00B8301A">
              <w:rPr>
                <w:noProof/>
                <w:webHidden/>
              </w:rPr>
            </w:r>
            <w:r w:rsidR="00B8301A">
              <w:rPr>
                <w:noProof/>
                <w:webHidden/>
              </w:rPr>
              <w:fldChar w:fldCharType="separate"/>
            </w:r>
            <w:r w:rsidR="00B8301A">
              <w:rPr>
                <w:noProof/>
                <w:webHidden/>
              </w:rPr>
              <w:t>7</w:t>
            </w:r>
            <w:r w:rsidR="00B8301A">
              <w:rPr>
                <w:noProof/>
                <w:webHidden/>
              </w:rPr>
              <w:fldChar w:fldCharType="end"/>
            </w:r>
          </w:hyperlink>
        </w:p>
        <w:p w14:paraId="2CC1065F" w14:textId="5A3D3F8B" w:rsidR="00B8301A" w:rsidRDefault="007B0BCD">
          <w:pPr>
            <w:pStyle w:val="INNH3"/>
            <w:rPr>
              <w:rFonts w:eastAsiaTheme="minorEastAsia"/>
              <w:noProof/>
              <w:sz w:val="22"/>
              <w:lang w:eastAsia="nb-NO"/>
            </w:rPr>
          </w:pPr>
          <w:hyperlink w:anchor="_Toc62640328" w:history="1">
            <w:r w:rsidR="00B8301A" w:rsidRPr="00371855">
              <w:rPr>
                <w:rStyle w:val="Hyperkobling"/>
                <w:noProof/>
              </w:rPr>
              <w:t>4.2</w:t>
            </w:r>
            <w:r w:rsidR="00B8301A">
              <w:rPr>
                <w:rFonts w:eastAsiaTheme="minorEastAsia"/>
                <w:noProof/>
                <w:sz w:val="22"/>
                <w:lang w:eastAsia="nb-NO"/>
              </w:rPr>
              <w:tab/>
            </w:r>
            <w:r w:rsidR="00B8301A" w:rsidRPr="00371855">
              <w:rPr>
                <w:rStyle w:val="Hyperkobling"/>
                <w:noProof/>
              </w:rPr>
              <w:t>Metode for beregning av nedskrivninger</w:t>
            </w:r>
            <w:r w:rsidR="00B8301A">
              <w:rPr>
                <w:noProof/>
                <w:webHidden/>
              </w:rPr>
              <w:tab/>
            </w:r>
            <w:r w:rsidR="00B8301A">
              <w:rPr>
                <w:noProof/>
                <w:webHidden/>
              </w:rPr>
              <w:fldChar w:fldCharType="begin"/>
            </w:r>
            <w:r w:rsidR="00B8301A">
              <w:rPr>
                <w:noProof/>
                <w:webHidden/>
              </w:rPr>
              <w:instrText xml:space="preserve"> PAGEREF _Toc62640328 \h </w:instrText>
            </w:r>
            <w:r w:rsidR="00B8301A">
              <w:rPr>
                <w:noProof/>
                <w:webHidden/>
              </w:rPr>
            </w:r>
            <w:r w:rsidR="00B8301A">
              <w:rPr>
                <w:noProof/>
                <w:webHidden/>
              </w:rPr>
              <w:fldChar w:fldCharType="separate"/>
            </w:r>
            <w:r w:rsidR="00B8301A">
              <w:rPr>
                <w:noProof/>
                <w:webHidden/>
              </w:rPr>
              <w:t>7</w:t>
            </w:r>
            <w:r w:rsidR="00B8301A">
              <w:rPr>
                <w:noProof/>
                <w:webHidden/>
              </w:rPr>
              <w:fldChar w:fldCharType="end"/>
            </w:r>
          </w:hyperlink>
        </w:p>
        <w:p w14:paraId="041E287B" w14:textId="4978B66F" w:rsidR="00B8301A" w:rsidRDefault="007B0BCD">
          <w:pPr>
            <w:pStyle w:val="INNH3"/>
            <w:rPr>
              <w:rFonts w:eastAsiaTheme="minorEastAsia"/>
              <w:noProof/>
              <w:sz w:val="22"/>
              <w:lang w:eastAsia="nb-NO"/>
            </w:rPr>
          </w:pPr>
          <w:hyperlink w:anchor="_Toc62640329" w:history="1">
            <w:r w:rsidR="00B8301A" w:rsidRPr="00371855">
              <w:rPr>
                <w:rStyle w:val="Hyperkobling"/>
                <w:noProof/>
              </w:rPr>
              <w:t>4.3</w:t>
            </w:r>
            <w:r w:rsidR="00B8301A">
              <w:rPr>
                <w:rFonts w:eastAsiaTheme="minorEastAsia"/>
                <w:noProof/>
                <w:sz w:val="22"/>
                <w:lang w:eastAsia="nb-NO"/>
              </w:rPr>
              <w:tab/>
            </w:r>
            <w:r w:rsidR="00B8301A" w:rsidRPr="00371855">
              <w:rPr>
                <w:rStyle w:val="Hyperkobling"/>
                <w:noProof/>
              </w:rPr>
              <w:t>Engasjementer fordelt på engasjementstyper, typer av motparter og geografiske områder</w:t>
            </w:r>
            <w:r w:rsidR="00B8301A">
              <w:rPr>
                <w:noProof/>
                <w:webHidden/>
              </w:rPr>
              <w:tab/>
            </w:r>
            <w:r w:rsidR="00B8301A">
              <w:rPr>
                <w:noProof/>
                <w:webHidden/>
              </w:rPr>
              <w:fldChar w:fldCharType="begin"/>
            </w:r>
            <w:r w:rsidR="00B8301A">
              <w:rPr>
                <w:noProof/>
                <w:webHidden/>
              </w:rPr>
              <w:instrText xml:space="preserve"> PAGEREF _Toc62640329 \h </w:instrText>
            </w:r>
            <w:r w:rsidR="00B8301A">
              <w:rPr>
                <w:noProof/>
                <w:webHidden/>
              </w:rPr>
            </w:r>
            <w:r w:rsidR="00B8301A">
              <w:rPr>
                <w:noProof/>
                <w:webHidden/>
              </w:rPr>
              <w:fldChar w:fldCharType="separate"/>
            </w:r>
            <w:r w:rsidR="00B8301A">
              <w:rPr>
                <w:noProof/>
                <w:webHidden/>
              </w:rPr>
              <w:t>7</w:t>
            </w:r>
            <w:r w:rsidR="00B8301A">
              <w:rPr>
                <w:noProof/>
                <w:webHidden/>
              </w:rPr>
              <w:fldChar w:fldCharType="end"/>
            </w:r>
          </w:hyperlink>
        </w:p>
        <w:p w14:paraId="1403B27B" w14:textId="26C8BF96" w:rsidR="00B8301A" w:rsidRDefault="007B0BCD">
          <w:pPr>
            <w:pStyle w:val="INNH3"/>
            <w:rPr>
              <w:rFonts w:eastAsiaTheme="minorEastAsia"/>
              <w:noProof/>
              <w:sz w:val="22"/>
              <w:lang w:eastAsia="nb-NO"/>
            </w:rPr>
          </w:pPr>
          <w:hyperlink w:anchor="_Toc62640330" w:history="1">
            <w:r w:rsidR="00B8301A" w:rsidRPr="00371855">
              <w:rPr>
                <w:rStyle w:val="Hyperkobling"/>
                <w:noProof/>
              </w:rPr>
              <w:t>4.4</w:t>
            </w:r>
            <w:r w:rsidR="00B8301A">
              <w:rPr>
                <w:rFonts w:eastAsiaTheme="minorEastAsia"/>
                <w:noProof/>
                <w:sz w:val="22"/>
                <w:lang w:eastAsia="nb-NO"/>
              </w:rPr>
              <w:tab/>
            </w:r>
            <w:r w:rsidR="00B8301A" w:rsidRPr="00371855">
              <w:rPr>
                <w:rStyle w:val="Hyperkobling"/>
                <w:noProof/>
              </w:rPr>
              <w:t>Engasjementer fordelt på engasjementstyper og gjenstående løpetid</w:t>
            </w:r>
            <w:r w:rsidR="00B8301A">
              <w:rPr>
                <w:noProof/>
                <w:webHidden/>
              </w:rPr>
              <w:tab/>
            </w:r>
            <w:r w:rsidR="00B8301A">
              <w:rPr>
                <w:noProof/>
                <w:webHidden/>
              </w:rPr>
              <w:fldChar w:fldCharType="begin"/>
            </w:r>
            <w:r w:rsidR="00B8301A">
              <w:rPr>
                <w:noProof/>
                <w:webHidden/>
              </w:rPr>
              <w:instrText xml:space="preserve"> PAGEREF _Toc62640330 \h </w:instrText>
            </w:r>
            <w:r w:rsidR="00B8301A">
              <w:rPr>
                <w:noProof/>
                <w:webHidden/>
              </w:rPr>
            </w:r>
            <w:r w:rsidR="00B8301A">
              <w:rPr>
                <w:noProof/>
                <w:webHidden/>
              </w:rPr>
              <w:fldChar w:fldCharType="separate"/>
            </w:r>
            <w:r w:rsidR="00B8301A">
              <w:rPr>
                <w:noProof/>
                <w:webHidden/>
              </w:rPr>
              <w:t>8</w:t>
            </w:r>
            <w:r w:rsidR="00B8301A">
              <w:rPr>
                <w:noProof/>
                <w:webHidden/>
              </w:rPr>
              <w:fldChar w:fldCharType="end"/>
            </w:r>
          </w:hyperlink>
        </w:p>
        <w:p w14:paraId="6CE2CA35" w14:textId="32C728D3" w:rsidR="00B8301A" w:rsidRDefault="007B0BCD">
          <w:pPr>
            <w:pStyle w:val="INNH3"/>
            <w:rPr>
              <w:rFonts w:eastAsiaTheme="minorEastAsia"/>
              <w:noProof/>
              <w:sz w:val="22"/>
              <w:lang w:eastAsia="nb-NO"/>
            </w:rPr>
          </w:pPr>
          <w:hyperlink w:anchor="_Toc62640331" w:history="1">
            <w:r w:rsidR="00B8301A" w:rsidRPr="00371855">
              <w:rPr>
                <w:rStyle w:val="Hyperkobling"/>
                <w:noProof/>
              </w:rPr>
              <w:t>4.5</w:t>
            </w:r>
            <w:r w:rsidR="00B8301A">
              <w:rPr>
                <w:rFonts w:eastAsiaTheme="minorEastAsia"/>
                <w:noProof/>
                <w:sz w:val="22"/>
                <w:lang w:eastAsia="nb-NO"/>
              </w:rPr>
              <w:tab/>
            </w:r>
            <w:r w:rsidR="00B8301A" w:rsidRPr="00371855">
              <w:rPr>
                <w:rStyle w:val="Hyperkobling"/>
                <w:noProof/>
              </w:rPr>
              <w:t>Mislighold, nedskrivninger og avsetninger på garantier</w:t>
            </w:r>
            <w:r w:rsidR="00B8301A">
              <w:rPr>
                <w:noProof/>
                <w:webHidden/>
              </w:rPr>
              <w:tab/>
            </w:r>
            <w:r w:rsidR="00B8301A">
              <w:rPr>
                <w:noProof/>
                <w:webHidden/>
              </w:rPr>
              <w:fldChar w:fldCharType="begin"/>
            </w:r>
            <w:r w:rsidR="00B8301A">
              <w:rPr>
                <w:noProof/>
                <w:webHidden/>
              </w:rPr>
              <w:instrText xml:space="preserve"> PAGEREF _Toc62640331 \h </w:instrText>
            </w:r>
            <w:r w:rsidR="00B8301A">
              <w:rPr>
                <w:noProof/>
                <w:webHidden/>
              </w:rPr>
            </w:r>
            <w:r w:rsidR="00B8301A">
              <w:rPr>
                <w:noProof/>
                <w:webHidden/>
              </w:rPr>
              <w:fldChar w:fldCharType="separate"/>
            </w:r>
            <w:r w:rsidR="00B8301A">
              <w:rPr>
                <w:noProof/>
                <w:webHidden/>
              </w:rPr>
              <w:t>9</w:t>
            </w:r>
            <w:r w:rsidR="00B8301A">
              <w:rPr>
                <w:noProof/>
                <w:webHidden/>
              </w:rPr>
              <w:fldChar w:fldCharType="end"/>
            </w:r>
          </w:hyperlink>
        </w:p>
        <w:p w14:paraId="537455EE" w14:textId="2DB942AE" w:rsidR="00B8301A" w:rsidRDefault="007B0BCD">
          <w:pPr>
            <w:pStyle w:val="INNH3"/>
            <w:rPr>
              <w:rFonts w:eastAsiaTheme="minorEastAsia"/>
              <w:noProof/>
              <w:sz w:val="22"/>
              <w:lang w:eastAsia="nb-NO"/>
            </w:rPr>
          </w:pPr>
          <w:hyperlink w:anchor="_Toc62640332" w:history="1">
            <w:r w:rsidR="00B8301A" w:rsidRPr="00371855">
              <w:rPr>
                <w:rStyle w:val="Hyperkobling"/>
                <w:noProof/>
              </w:rPr>
              <w:t>4.6</w:t>
            </w:r>
            <w:r w:rsidR="00B8301A">
              <w:rPr>
                <w:rFonts w:eastAsiaTheme="minorEastAsia"/>
                <w:noProof/>
                <w:sz w:val="22"/>
                <w:lang w:eastAsia="nb-NO"/>
              </w:rPr>
              <w:tab/>
            </w:r>
            <w:r w:rsidR="00B8301A" w:rsidRPr="00371855">
              <w:rPr>
                <w:rStyle w:val="Hyperkobling"/>
                <w:noProof/>
              </w:rPr>
              <w:t>Endringer i nedskrivninger og avsetninger på garantier</w:t>
            </w:r>
            <w:r w:rsidR="00B8301A">
              <w:rPr>
                <w:noProof/>
                <w:webHidden/>
              </w:rPr>
              <w:tab/>
            </w:r>
            <w:r w:rsidR="00B8301A">
              <w:rPr>
                <w:noProof/>
                <w:webHidden/>
              </w:rPr>
              <w:fldChar w:fldCharType="begin"/>
            </w:r>
            <w:r w:rsidR="00B8301A">
              <w:rPr>
                <w:noProof/>
                <w:webHidden/>
              </w:rPr>
              <w:instrText xml:space="preserve"> PAGEREF _Toc62640332 \h </w:instrText>
            </w:r>
            <w:r w:rsidR="00B8301A">
              <w:rPr>
                <w:noProof/>
                <w:webHidden/>
              </w:rPr>
            </w:r>
            <w:r w:rsidR="00B8301A">
              <w:rPr>
                <w:noProof/>
                <w:webHidden/>
              </w:rPr>
              <w:fldChar w:fldCharType="separate"/>
            </w:r>
            <w:r w:rsidR="00B8301A">
              <w:rPr>
                <w:noProof/>
                <w:webHidden/>
              </w:rPr>
              <w:t>10</w:t>
            </w:r>
            <w:r w:rsidR="00B8301A">
              <w:rPr>
                <w:noProof/>
                <w:webHidden/>
              </w:rPr>
              <w:fldChar w:fldCharType="end"/>
            </w:r>
          </w:hyperlink>
        </w:p>
        <w:p w14:paraId="31115CE9" w14:textId="3A65AFB1" w:rsidR="00B8301A" w:rsidRDefault="007B0BCD">
          <w:pPr>
            <w:pStyle w:val="INNH3"/>
            <w:rPr>
              <w:rFonts w:eastAsiaTheme="minorEastAsia"/>
              <w:noProof/>
              <w:sz w:val="22"/>
              <w:lang w:eastAsia="nb-NO"/>
            </w:rPr>
          </w:pPr>
          <w:hyperlink w:anchor="_Toc62640333" w:history="1">
            <w:r w:rsidR="00B8301A" w:rsidRPr="00371855">
              <w:rPr>
                <w:rStyle w:val="Hyperkobling"/>
                <w:noProof/>
              </w:rPr>
              <w:t>4.7</w:t>
            </w:r>
            <w:r w:rsidR="00B8301A">
              <w:rPr>
                <w:rFonts w:eastAsiaTheme="minorEastAsia"/>
                <w:noProof/>
                <w:sz w:val="22"/>
                <w:lang w:eastAsia="nb-NO"/>
              </w:rPr>
              <w:tab/>
            </w:r>
            <w:r w:rsidR="00B8301A" w:rsidRPr="00371855">
              <w:rPr>
                <w:rStyle w:val="Hyperkobling"/>
                <w:noProof/>
              </w:rPr>
              <w:t>Bruk av offisiell rating for kapitaldekningsformål</w:t>
            </w:r>
            <w:r w:rsidR="00B8301A">
              <w:rPr>
                <w:noProof/>
                <w:webHidden/>
              </w:rPr>
              <w:tab/>
            </w:r>
            <w:r w:rsidR="00B8301A">
              <w:rPr>
                <w:noProof/>
                <w:webHidden/>
              </w:rPr>
              <w:fldChar w:fldCharType="begin"/>
            </w:r>
            <w:r w:rsidR="00B8301A">
              <w:rPr>
                <w:noProof/>
                <w:webHidden/>
              </w:rPr>
              <w:instrText xml:space="preserve"> PAGEREF _Toc62640333 \h </w:instrText>
            </w:r>
            <w:r w:rsidR="00B8301A">
              <w:rPr>
                <w:noProof/>
                <w:webHidden/>
              </w:rPr>
            </w:r>
            <w:r w:rsidR="00B8301A">
              <w:rPr>
                <w:noProof/>
                <w:webHidden/>
              </w:rPr>
              <w:fldChar w:fldCharType="separate"/>
            </w:r>
            <w:r w:rsidR="00B8301A">
              <w:rPr>
                <w:noProof/>
                <w:webHidden/>
              </w:rPr>
              <w:t>10</w:t>
            </w:r>
            <w:r w:rsidR="00B8301A">
              <w:rPr>
                <w:noProof/>
                <w:webHidden/>
              </w:rPr>
              <w:fldChar w:fldCharType="end"/>
            </w:r>
          </w:hyperlink>
        </w:p>
        <w:p w14:paraId="02261B22" w14:textId="5BC105CB" w:rsidR="00B8301A" w:rsidRDefault="007B0BCD">
          <w:pPr>
            <w:pStyle w:val="INNH3"/>
            <w:rPr>
              <w:rFonts w:eastAsiaTheme="minorEastAsia"/>
              <w:noProof/>
              <w:sz w:val="22"/>
              <w:lang w:eastAsia="nb-NO"/>
            </w:rPr>
          </w:pPr>
          <w:hyperlink w:anchor="_Toc62640334" w:history="1">
            <w:r w:rsidR="00B8301A" w:rsidRPr="00371855">
              <w:rPr>
                <w:rStyle w:val="Hyperkobling"/>
                <w:noProof/>
              </w:rPr>
              <w:t>4.8</w:t>
            </w:r>
            <w:r w:rsidR="00B8301A">
              <w:rPr>
                <w:rFonts w:eastAsiaTheme="minorEastAsia"/>
                <w:noProof/>
                <w:sz w:val="22"/>
                <w:lang w:eastAsia="nb-NO"/>
              </w:rPr>
              <w:tab/>
            </w:r>
            <w:r w:rsidR="00B8301A" w:rsidRPr="00371855">
              <w:rPr>
                <w:rStyle w:val="Hyperkobling"/>
                <w:noProof/>
              </w:rPr>
              <w:t>Engasjementsbeløp og bruk av sikkerheter m.v. ved fastsettelse av kapitalkrav</w:t>
            </w:r>
            <w:r w:rsidR="00B8301A">
              <w:rPr>
                <w:noProof/>
                <w:webHidden/>
              </w:rPr>
              <w:tab/>
            </w:r>
            <w:r w:rsidR="00B8301A">
              <w:rPr>
                <w:noProof/>
                <w:webHidden/>
              </w:rPr>
              <w:fldChar w:fldCharType="begin"/>
            </w:r>
            <w:r w:rsidR="00B8301A">
              <w:rPr>
                <w:noProof/>
                <w:webHidden/>
              </w:rPr>
              <w:instrText xml:space="preserve"> PAGEREF _Toc62640334 \h </w:instrText>
            </w:r>
            <w:r w:rsidR="00B8301A">
              <w:rPr>
                <w:noProof/>
                <w:webHidden/>
              </w:rPr>
            </w:r>
            <w:r w:rsidR="00B8301A">
              <w:rPr>
                <w:noProof/>
                <w:webHidden/>
              </w:rPr>
              <w:fldChar w:fldCharType="separate"/>
            </w:r>
            <w:r w:rsidR="00B8301A">
              <w:rPr>
                <w:noProof/>
                <w:webHidden/>
              </w:rPr>
              <w:t>11</w:t>
            </w:r>
            <w:r w:rsidR="00B8301A">
              <w:rPr>
                <w:noProof/>
                <w:webHidden/>
              </w:rPr>
              <w:fldChar w:fldCharType="end"/>
            </w:r>
          </w:hyperlink>
        </w:p>
        <w:p w14:paraId="0AEB9B95" w14:textId="3E927F1B" w:rsidR="00B8301A" w:rsidRDefault="007B0BCD">
          <w:pPr>
            <w:pStyle w:val="INNH3"/>
            <w:rPr>
              <w:rFonts w:eastAsiaTheme="minorEastAsia"/>
              <w:noProof/>
              <w:sz w:val="22"/>
              <w:lang w:eastAsia="nb-NO"/>
            </w:rPr>
          </w:pPr>
          <w:hyperlink w:anchor="_Toc62640335" w:history="1">
            <w:r w:rsidR="00B8301A" w:rsidRPr="00371855">
              <w:rPr>
                <w:rStyle w:val="Hyperkobling"/>
                <w:noProof/>
              </w:rPr>
              <w:t>4.9</w:t>
            </w:r>
            <w:r w:rsidR="00B8301A">
              <w:rPr>
                <w:rFonts w:eastAsiaTheme="minorEastAsia"/>
                <w:noProof/>
                <w:sz w:val="22"/>
                <w:lang w:eastAsia="nb-NO"/>
              </w:rPr>
              <w:tab/>
            </w:r>
            <w:r w:rsidR="00B8301A" w:rsidRPr="00371855">
              <w:rPr>
                <w:rStyle w:val="Hyperkobling"/>
                <w:noProof/>
              </w:rPr>
              <w:t>Sikkerhetsstilte eiendeler</w:t>
            </w:r>
            <w:r w:rsidR="00B8301A">
              <w:rPr>
                <w:noProof/>
                <w:webHidden/>
              </w:rPr>
              <w:tab/>
            </w:r>
            <w:r w:rsidR="00B8301A">
              <w:rPr>
                <w:noProof/>
                <w:webHidden/>
              </w:rPr>
              <w:fldChar w:fldCharType="begin"/>
            </w:r>
            <w:r w:rsidR="00B8301A">
              <w:rPr>
                <w:noProof/>
                <w:webHidden/>
              </w:rPr>
              <w:instrText xml:space="preserve"> PAGEREF _Toc62640335 \h </w:instrText>
            </w:r>
            <w:r w:rsidR="00B8301A">
              <w:rPr>
                <w:noProof/>
                <w:webHidden/>
              </w:rPr>
            </w:r>
            <w:r w:rsidR="00B8301A">
              <w:rPr>
                <w:noProof/>
                <w:webHidden/>
              </w:rPr>
              <w:fldChar w:fldCharType="separate"/>
            </w:r>
            <w:r w:rsidR="00B8301A">
              <w:rPr>
                <w:noProof/>
                <w:webHidden/>
              </w:rPr>
              <w:t>12</w:t>
            </w:r>
            <w:r w:rsidR="00B8301A">
              <w:rPr>
                <w:noProof/>
                <w:webHidden/>
              </w:rPr>
              <w:fldChar w:fldCharType="end"/>
            </w:r>
          </w:hyperlink>
        </w:p>
        <w:p w14:paraId="0BBC4766" w14:textId="730D9EF8" w:rsidR="00B8301A" w:rsidRDefault="007B0BCD">
          <w:pPr>
            <w:pStyle w:val="INNH3"/>
            <w:rPr>
              <w:rFonts w:eastAsiaTheme="minorEastAsia"/>
              <w:noProof/>
              <w:sz w:val="22"/>
              <w:lang w:eastAsia="nb-NO"/>
            </w:rPr>
          </w:pPr>
          <w:hyperlink w:anchor="_Toc62640336" w:history="1">
            <w:r w:rsidR="00B8301A" w:rsidRPr="00371855">
              <w:rPr>
                <w:rStyle w:val="Hyperkobling"/>
                <w:noProof/>
              </w:rPr>
              <w:t>4.10</w:t>
            </w:r>
            <w:r w:rsidR="00B8301A">
              <w:rPr>
                <w:rFonts w:eastAsiaTheme="minorEastAsia"/>
                <w:noProof/>
                <w:sz w:val="22"/>
                <w:lang w:eastAsia="nb-NO"/>
              </w:rPr>
              <w:tab/>
            </w:r>
            <w:r w:rsidR="00B8301A" w:rsidRPr="00371855">
              <w:rPr>
                <w:rStyle w:val="Hyperkobling"/>
                <w:noProof/>
              </w:rPr>
              <w:t>Motpartsrisiko knyttet til derivater</w:t>
            </w:r>
            <w:r w:rsidR="00B8301A">
              <w:rPr>
                <w:noProof/>
                <w:webHidden/>
              </w:rPr>
              <w:tab/>
            </w:r>
            <w:r w:rsidR="00B8301A">
              <w:rPr>
                <w:noProof/>
                <w:webHidden/>
              </w:rPr>
              <w:fldChar w:fldCharType="begin"/>
            </w:r>
            <w:r w:rsidR="00B8301A">
              <w:rPr>
                <w:noProof/>
                <w:webHidden/>
              </w:rPr>
              <w:instrText xml:space="preserve"> PAGEREF _Toc62640336 \h </w:instrText>
            </w:r>
            <w:r w:rsidR="00B8301A">
              <w:rPr>
                <w:noProof/>
                <w:webHidden/>
              </w:rPr>
            </w:r>
            <w:r w:rsidR="00B8301A">
              <w:rPr>
                <w:noProof/>
                <w:webHidden/>
              </w:rPr>
              <w:fldChar w:fldCharType="separate"/>
            </w:r>
            <w:r w:rsidR="00B8301A">
              <w:rPr>
                <w:noProof/>
                <w:webHidden/>
              </w:rPr>
              <w:t>13</w:t>
            </w:r>
            <w:r w:rsidR="00B8301A">
              <w:rPr>
                <w:noProof/>
                <w:webHidden/>
              </w:rPr>
              <w:fldChar w:fldCharType="end"/>
            </w:r>
          </w:hyperlink>
        </w:p>
        <w:p w14:paraId="510BDB3A" w14:textId="105831D5" w:rsidR="00B8301A" w:rsidRDefault="007B0BCD">
          <w:pPr>
            <w:pStyle w:val="INNH2"/>
            <w:rPr>
              <w:rFonts w:eastAsiaTheme="minorEastAsia"/>
              <w:noProof/>
              <w:sz w:val="22"/>
              <w:lang w:eastAsia="nb-NO"/>
            </w:rPr>
          </w:pPr>
          <w:hyperlink w:anchor="_Toc62640337" w:history="1">
            <w:r w:rsidR="00B8301A" w:rsidRPr="00371855">
              <w:rPr>
                <w:rStyle w:val="Hyperkobling"/>
                <w:noProof/>
              </w:rPr>
              <w:t>5.</w:t>
            </w:r>
            <w:r w:rsidR="00B8301A">
              <w:rPr>
                <w:rFonts w:eastAsiaTheme="minorEastAsia"/>
                <w:noProof/>
                <w:sz w:val="22"/>
                <w:lang w:eastAsia="nb-NO"/>
              </w:rPr>
              <w:tab/>
            </w:r>
            <w:r w:rsidR="00B8301A" w:rsidRPr="00371855">
              <w:rPr>
                <w:rStyle w:val="Hyperkobling"/>
                <w:noProof/>
              </w:rPr>
              <w:t>Egenkapitalposisjoner</w:t>
            </w:r>
            <w:r w:rsidR="00B8301A">
              <w:rPr>
                <w:noProof/>
                <w:webHidden/>
              </w:rPr>
              <w:tab/>
            </w:r>
            <w:r w:rsidR="00B8301A">
              <w:rPr>
                <w:noProof/>
                <w:webHidden/>
              </w:rPr>
              <w:fldChar w:fldCharType="begin"/>
            </w:r>
            <w:r w:rsidR="00B8301A">
              <w:rPr>
                <w:noProof/>
                <w:webHidden/>
              </w:rPr>
              <w:instrText xml:space="preserve"> PAGEREF _Toc62640337 \h </w:instrText>
            </w:r>
            <w:r w:rsidR="00B8301A">
              <w:rPr>
                <w:noProof/>
                <w:webHidden/>
              </w:rPr>
            </w:r>
            <w:r w:rsidR="00B8301A">
              <w:rPr>
                <w:noProof/>
                <w:webHidden/>
              </w:rPr>
              <w:fldChar w:fldCharType="separate"/>
            </w:r>
            <w:r w:rsidR="00B8301A">
              <w:rPr>
                <w:noProof/>
                <w:webHidden/>
              </w:rPr>
              <w:t>13</w:t>
            </w:r>
            <w:r w:rsidR="00B8301A">
              <w:rPr>
                <w:noProof/>
                <w:webHidden/>
              </w:rPr>
              <w:fldChar w:fldCharType="end"/>
            </w:r>
          </w:hyperlink>
        </w:p>
        <w:p w14:paraId="4EE62015" w14:textId="7C7692A8" w:rsidR="00B8301A" w:rsidRDefault="007B0BCD">
          <w:pPr>
            <w:pStyle w:val="INNH2"/>
            <w:rPr>
              <w:rFonts w:eastAsiaTheme="minorEastAsia"/>
              <w:noProof/>
              <w:sz w:val="22"/>
              <w:lang w:eastAsia="nb-NO"/>
            </w:rPr>
          </w:pPr>
          <w:hyperlink w:anchor="_Toc62640338" w:history="1">
            <w:r w:rsidR="00B8301A" w:rsidRPr="00371855">
              <w:rPr>
                <w:rStyle w:val="Hyperkobling"/>
                <w:noProof/>
              </w:rPr>
              <w:t>6.</w:t>
            </w:r>
            <w:r w:rsidR="00B8301A">
              <w:rPr>
                <w:rFonts w:eastAsiaTheme="minorEastAsia"/>
                <w:noProof/>
                <w:sz w:val="22"/>
                <w:lang w:eastAsia="nb-NO"/>
              </w:rPr>
              <w:tab/>
            </w:r>
            <w:r w:rsidR="00B8301A" w:rsidRPr="00371855">
              <w:rPr>
                <w:rStyle w:val="Hyperkobling"/>
                <w:noProof/>
              </w:rPr>
              <w:t>Renterisiko</w:t>
            </w:r>
            <w:r w:rsidR="00B8301A">
              <w:rPr>
                <w:noProof/>
                <w:webHidden/>
              </w:rPr>
              <w:tab/>
            </w:r>
            <w:r w:rsidR="00B8301A">
              <w:rPr>
                <w:noProof/>
                <w:webHidden/>
              </w:rPr>
              <w:fldChar w:fldCharType="begin"/>
            </w:r>
            <w:r w:rsidR="00B8301A">
              <w:rPr>
                <w:noProof/>
                <w:webHidden/>
              </w:rPr>
              <w:instrText xml:space="preserve"> PAGEREF _Toc62640338 \h </w:instrText>
            </w:r>
            <w:r w:rsidR="00B8301A">
              <w:rPr>
                <w:noProof/>
                <w:webHidden/>
              </w:rPr>
            </w:r>
            <w:r w:rsidR="00B8301A">
              <w:rPr>
                <w:noProof/>
                <w:webHidden/>
              </w:rPr>
              <w:fldChar w:fldCharType="separate"/>
            </w:r>
            <w:r w:rsidR="00B8301A">
              <w:rPr>
                <w:noProof/>
                <w:webHidden/>
              </w:rPr>
              <w:t>14</w:t>
            </w:r>
            <w:r w:rsidR="00B8301A">
              <w:rPr>
                <w:noProof/>
                <w:webHidden/>
              </w:rPr>
              <w:fldChar w:fldCharType="end"/>
            </w:r>
          </w:hyperlink>
        </w:p>
        <w:p w14:paraId="6D699AAC" w14:textId="47B84C43" w:rsidR="00B8301A" w:rsidRDefault="007B0BCD">
          <w:pPr>
            <w:pStyle w:val="INNH2"/>
            <w:rPr>
              <w:rFonts w:eastAsiaTheme="minorEastAsia"/>
              <w:noProof/>
              <w:sz w:val="22"/>
              <w:lang w:eastAsia="nb-NO"/>
            </w:rPr>
          </w:pPr>
          <w:hyperlink w:anchor="_Toc62640339" w:history="1">
            <w:r w:rsidR="00B8301A" w:rsidRPr="00371855">
              <w:rPr>
                <w:rStyle w:val="Hyperkobling"/>
                <w:noProof/>
              </w:rPr>
              <w:t>7.</w:t>
            </w:r>
            <w:r w:rsidR="00B8301A">
              <w:rPr>
                <w:rFonts w:eastAsiaTheme="minorEastAsia"/>
                <w:noProof/>
                <w:sz w:val="22"/>
                <w:lang w:eastAsia="nb-NO"/>
              </w:rPr>
              <w:tab/>
            </w:r>
            <w:r w:rsidR="00B8301A" w:rsidRPr="00371855">
              <w:rPr>
                <w:rStyle w:val="Hyperkobling"/>
                <w:noProof/>
              </w:rPr>
              <w:t>Styring og kontroll av risiko</w:t>
            </w:r>
            <w:r w:rsidR="00B8301A">
              <w:rPr>
                <w:noProof/>
                <w:webHidden/>
              </w:rPr>
              <w:tab/>
            </w:r>
            <w:r w:rsidR="00B8301A">
              <w:rPr>
                <w:noProof/>
                <w:webHidden/>
              </w:rPr>
              <w:fldChar w:fldCharType="begin"/>
            </w:r>
            <w:r w:rsidR="00B8301A">
              <w:rPr>
                <w:noProof/>
                <w:webHidden/>
              </w:rPr>
              <w:instrText xml:space="preserve"> PAGEREF _Toc62640339 \h </w:instrText>
            </w:r>
            <w:r w:rsidR="00B8301A">
              <w:rPr>
                <w:noProof/>
                <w:webHidden/>
              </w:rPr>
            </w:r>
            <w:r w:rsidR="00B8301A">
              <w:rPr>
                <w:noProof/>
                <w:webHidden/>
              </w:rPr>
              <w:fldChar w:fldCharType="separate"/>
            </w:r>
            <w:r w:rsidR="00B8301A">
              <w:rPr>
                <w:noProof/>
                <w:webHidden/>
              </w:rPr>
              <w:t>15</w:t>
            </w:r>
            <w:r w:rsidR="00B8301A">
              <w:rPr>
                <w:noProof/>
                <w:webHidden/>
              </w:rPr>
              <w:fldChar w:fldCharType="end"/>
            </w:r>
          </w:hyperlink>
        </w:p>
        <w:p w14:paraId="075F988C" w14:textId="7BECA7E0" w:rsidR="00B8301A" w:rsidRDefault="007B0BCD">
          <w:pPr>
            <w:pStyle w:val="INNH2"/>
            <w:rPr>
              <w:rFonts w:eastAsiaTheme="minorEastAsia"/>
              <w:noProof/>
              <w:sz w:val="22"/>
              <w:lang w:eastAsia="nb-NO"/>
            </w:rPr>
          </w:pPr>
          <w:hyperlink w:anchor="_Toc62640340" w:history="1">
            <w:r w:rsidR="00B8301A" w:rsidRPr="00371855">
              <w:rPr>
                <w:rStyle w:val="Hyperkobling"/>
                <w:noProof/>
              </w:rPr>
              <w:t>8.</w:t>
            </w:r>
            <w:r w:rsidR="00B8301A">
              <w:rPr>
                <w:rFonts w:eastAsiaTheme="minorEastAsia"/>
                <w:noProof/>
                <w:sz w:val="22"/>
                <w:lang w:eastAsia="nb-NO"/>
              </w:rPr>
              <w:tab/>
            </w:r>
            <w:r w:rsidR="00B8301A" w:rsidRPr="00371855">
              <w:rPr>
                <w:rStyle w:val="Hyperkobling"/>
                <w:noProof/>
              </w:rPr>
              <w:t>Standardiserte skjemaer for offentliggjøring av opplysninger om ansvarlig kapital</w:t>
            </w:r>
            <w:r w:rsidR="00B8301A">
              <w:rPr>
                <w:noProof/>
                <w:webHidden/>
              </w:rPr>
              <w:tab/>
            </w:r>
            <w:r w:rsidR="00B8301A">
              <w:rPr>
                <w:noProof/>
                <w:webHidden/>
              </w:rPr>
              <w:fldChar w:fldCharType="begin"/>
            </w:r>
            <w:r w:rsidR="00B8301A">
              <w:rPr>
                <w:noProof/>
                <w:webHidden/>
              </w:rPr>
              <w:instrText xml:space="preserve"> PAGEREF _Toc62640340 \h </w:instrText>
            </w:r>
            <w:r w:rsidR="00B8301A">
              <w:rPr>
                <w:noProof/>
                <w:webHidden/>
              </w:rPr>
            </w:r>
            <w:r w:rsidR="00B8301A">
              <w:rPr>
                <w:noProof/>
                <w:webHidden/>
              </w:rPr>
              <w:fldChar w:fldCharType="separate"/>
            </w:r>
            <w:r w:rsidR="00B8301A">
              <w:rPr>
                <w:noProof/>
                <w:webHidden/>
              </w:rPr>
              <w:t>16</w:t>
            </w:r>
            <w:r w:rsidR="00B8301A">
              <w:rPr>
                <w:noProof/>
                <w:webHidden/>
              </w:rPr>
              <w:fldChar w:fldCharType="end"/>
            </w:r>
          </w:hyperlink>
        </w:p>
        <w:p w14:paraId="130F8F3E" w14:textId="796BE13D" w:rsidR="00953498" w:rsidRPr="00DD7FCC" w:rsidRDefault="00953498">
          <w:pPr>
            <w:rPr>
              <w:b/>
              <w:bCs/>
            </w:rPr>
          </w:pPr>
          <w:r>
            <w:rPr>
              <w:b/>
              <w:bCs/>
            </w:rPr>
            <w:fldChar w:fldCharType="end"/>
          </w:r>
        </w:p>
      </w:sdtContent>
    </w:sdt>
    <w:p w14:paraId="130F8F40" w14:textId="77777777" w:rsidR="00094CC3" w:rsidRPr="00094CC3" w:rsidRDefault="00094CC3" w:rsidP="00CD42FC">
      <w:pPr>
        <w:spacing w:after="200" w:line="276" w:lineRule="auto"/>
        <w:sectPr w:rsidR="00094CC3" w:rsidRPr="00094CC3" w:rsidSect="00301161">
          <w:headerReference w:type="default" r:id="rId16"/>
          <w:footerReference w:type="default" r:id="rId17"/>
          <w:headerReference w:type="first" r:id="rId18"/>
          <w:footerReference w:type="first" r:id="rId19"/>
          <w:pgSz w:w="11906" w:h="16838" w:code="9"/>
          <w:pgMar w:top="1985" w:right="1134" w:bottom="1304" w:left="1134" w:header="567" w:footer="340" w:gutter="0"/>
          <w:cols w:space="708"/>
          <w:titlePg/>
          <w:docGrid w:linePitch="360"/>
        </w:sectPr>
      </w:pPr>
    </w:p>
    <w:p w14:paraId="130F8F41" w14:textId="77777777" w:rsidR="00301161" w:rsidRPr="00301161" w:rsidRDefault="00301161" w:rsidP="00301161">
      <w:pPr>
        <w:pStyle w:val="Overskrift2"/>
        <w:numPr>
          <w:ilvl w:val="0"/>
          <w:numId w:val="6"/>
        </w:numPr>
        <w:rPr>
          <w:lang w:val="da-DK"/>
        </w:rPr>
      </w:pPr>
      <w:bookmarkStart w:id="0" w:name="_Toc410733935"/>
      <w:bookmarkStart w:id="1" w:name="_Toc410889438"/>
      <w:bookmarkStart w:id="2" w:name="_Toc62640318"/>
      <w:r w:rsidRPr="00301161">
        <w:rPr>
          <w:lang w:val="da-DK"/>
        </w:rPr>
        <w:lastRenderedPageBreak/>
        <w:t>Innledning og formål med dokumentet</w:t>
      </w:r>
      <w:bookmarkEnd w:id="0"/>
      <w:bookmarkEnd w:id="1"/>
      <w:bookmarkEnd w:id="2"/>
    </w:p>
    <w:p w14:paraId="130F8F42" w14:textId="11AEC7DE" w:rsidR="00094CC3" w:rsidRPr="00D60863" w:rsidRDefault="00094CC3" w:rsidP="00094CC3">
      <w:pPr>
        <w:rPr>
          <w:rFonts w:ascii="Lucida Sans" w:hAnsi="Lucida Sans"/>
        </w:rPr>
      </w:pPr>
      <w:r w:rsidRPr="00D60863">
        <w:rPr>
          <w:rFonts w:ascii="Lucida Sans" w:hAnsi="Lucida Sans"/>
        </w:rPr>
        <w:t xml:space="preserve">Formålet med dette dokumentet er å oppfylle kravene til offentliggjøring av finansiell informasjon etter </w:t>
      </w:r>
      <w:r w:rsidR="0087792D" w:rsidRPr="0087792D">
        <w:rPr>
          <w:rFonts w:ascii="Lucida Sans" w:hAnsi="Lucida Sans"/>
        </w:rPr>
        <w:t xml:space="preserve">åttende del av </w:t>
      </w:r>
      <w:proofErr w:type="spellStart"/>
      <w:r w:rsidR="0087792D" w:rsidRPr="0087792D">
        <w:rPr>
          <w:rFonts w:ascii="Lucida Sans" w:hAnsi="Lucida Sans"/>
        </w:rPr>
        <w:t>kapitalkravsforordningen</w:t>
      </w:r>
      <w:proofErr w:type="spellEnd"/>
      <w:r w:rsidR="0087792D" w:rsidRPr="0087792D">
        <w:rPr>
          <w:rFonts w:ascii="Lucida Sans" w:hAnsi="Lucida Sans"/>
        </w:rPr>
        <w:t xml:space="preserve"> (CRR (EU) 2013/575)</w:t>
      </w:r>
      <w:r w:rsidR="0087792D">
        <w:rPr>
          <w:rFonts w:ascii="Lucida Sans" w:hAnsi="Lucida Sans"/>
        </w:rPr>
        <w:t xml:space="preserve">, jf. </w:t>
      </w:r>
      <w:r w:rsidR="0087792D" w:rsidRPr="0087792D">
        <w:rPr>
          <w:rFonts w:ascii="Lucida Sans" w:hAnsi="Lucida Sans"/>
        </w:rPr>
        <w:t>Forskrift om kapitalkrav og nasjonal tilpasning av CRR/CRD IV del XI</w:t>
      </w:r>
      <w:r w:rsidRPr="00D60863">
        <w:rPr>
          <w:rFonts w:ascii="Lucida Sans" w:hAnsi="Lucida Sans"/>
        </w:rPr>
        <w:t>. Alle tall i dokumentet er per 31. desember 20</w:t>
      </w:r>
      <w:r w:rsidR="003B038E">
        <w:rPr>
          <w:rFonts w:ascii="Lucida Sans" w:hAnsi="Lucida Sans"/>
        </w:rPr>
        <w:t>20</w:t>
      </w:r>
      <w:r w:rsidRPr="00D60863">
        <w:rPr>
          <w:rFonts w:ascii="Lucida Sans" w:hAnsi="Lucida Sans"/>
        </w:rPr>
        <w:t xml:space="preserve"> med mindre annet fremgår.</w:t>
      </w:r>
    </w:p>
    <w:p w14:paraId="130F8F44" w14:textId="77777777" w:rsidR="00094CC3" w:rsidRPr="00094CC3" w:rsidRDefault="00094CC3" w:rsidP="00094CC3">
      <w:pPr>
        <w:rPr>
          <w:rFonts w:ascii="Lucida Sans" w:hAnsi="Lucida Sans"/>
        </w:rPr>
      </w:pPr>
      <w:r w:rsidRPr="00094CC3">
        <w:rPr>
          <w:rFonts w:ascii="Lucida Sans" w:hAnsi="Lucida Sans"/>
        </w:rPr>
        <w:t>Banken benytter standardmetoden ved beregning av kapitalkrav for kredittrisiko. Dette innebærer at det brukes standardiserte myndighetsbestemte risikovekter ved beregning av kapitalkravet. For beregning av kapitalkrav for operasjonell risiko benyttes basismetoden som innebærer at kapitalkravet beregnes i forhold til inntekt siste tre år. Banken har ikke handelsportefølje og beregner derfor ikke kapitalkrav for markedsrisiko.</w:t>
      </w:r>
    </w:p>
    <w:p w14:paraId="130F8F45" w14:textId="77777777" w:rsidR="00896812" w:rsidRDefault="00896812" w:rsidP="00301161">
      <w:pPr>
        <w:rPr>
          <w:rFonts w:ascii="Lucida Sans" w:hAnsi="Lucida Sans"/>
        </w:rPr>
      </w:pPr>
    </w:p>
    <w:p w14:paraId="130F8F46" w14:textId="77777777" w:rsidR="00301161" w:rsidRDefault="00301161" w:rsidP="00301161">
      <w:pPr>
        <w:pStyle w:val="Overskrift2"/>
        <w:numPr>
          <w:ilvl w:val="0"/>
          <w:numId w:val="6"/>
        </w:numPr>
      </w:pPr>
      <w:bookmarkStart w:id="3" w:name="_Toc383089219"/>
      <w:bookmarkStart w:id="4" w:name="_Toc410889440"/>
      <w:bookmarkStart w:id="5" w:name="_Toc62640319"/>
      <w:r>
        <w:t>Konsolidering</w:t>
      </w:r>
      <w:bookmarkEnd w:id="3"/>
      <w:bookmarkEnd w:id="4"/>
      <w:bookmarkEnd w:id="5"/>
    </w:p>
    <w:p w14:paraId="130F8F47" w14:textId="77777777" w:rsidR="00301161" w:rsidRPr="00953498" w:rsidRDefault="00896812" w:rsidP="00953498">
      <w:pPr>
        <w:pStyle w:val="Overskrift3"/>
        <w:numPr>
          <w:ilvl w:val="1"/>
          <w:numId w:val="6"/>
        </w:numPr>
      </w:pPr>
      <w:bookmarkStart w:id="6" w:name="_Toc62640320"/>
      <w:r w:rsidRPr="00953498">
        <w:t>Oversikt over datterselskaper, tilknyttede selskaper mv</w:t>
      </w:r>
      <w:bookmarkEnd w:id="6"/>
    </w:p>
    <w:p w14:paraId="130F8F48" w14:textId="6903FC0E" w:rsidR="00094CC3" w:rsidRDefault="00094CC3" w:rsidP="00094CC3">
      <w:pPr>
        <w:rPr>
          <w:rFonts w:ascii="Lucida Sans" w:hAnsi="Lucida Sans"/>
        </w:rPr>
      </w:pPr>
      <w:r w:rsidRPr="00516A1B">
        <w:rPr>
          <w:rFonts w:ascii="Lucida Sans" w:hAnsi="Lucida Sans"/>
        </w:rPr>
        <w:t xml:space="preserve">Tabellene gir en oversikt over datterselskaper, tilknyttede selskaper eller </w:t>
      </w:r>
      <w:proofErr w:type="spellStart"/>
      <w:r w:rsidRPr="00516A1B">
        <w:rPr>
          <w:rFonts w:ascii="Lucida Sans" w:hAnsi="Lucida Sans"/>
        </w:rPr>
        <w:t>felleskontrollert</w:t>
      </w:r>
      <w:proofErr w:type="spellEnd"/>
      <w:r w:rsidRPr="00516A1B">
        <w:rPr>
          <w:rFonts w:ascii="Lucida Sans" w:hAnsi="Lucida Sans"/>
        </w:rPr>
        <w:t xml:space="preserve"> virksomhet, selskaper hvor investeringen er fratrukket i ansvarlig kapital og selskaper i konsernet som ikke er konsolidert og hvor investeringen ikke er fratrukket i ansvarlig kapital:</w:t>
      </w:r>
    </w:p>
    <w:p w14:paraId="58E990D5" w14:textId="5BB84D78" w:rsidR="00CC2A67" w:rsidRDefault="00CC2A67" w:rsidP="00094CC3">
      <w:pPr>
        <w:rPr>
          <w:rFonts w:ascii="Lucida Sans" w:hAnsi="Lucida Sans"/>
        </w:rPr>
      </w:pPr>
    </w:p>
    <w:p w14:paraId="130F8F49" w14:textId="3A5E4392" w:rsidR="00301161" w:rsidRDefault="00CC2A67" w:rsidP="00C73ADF">
      <w:r w:rsidRPr="00CC2A67">
        <w:drawing>
          <wp:inline distT="0" distB="0" distL="0" distR="0" wp14:anchorId="09CEFD67" wp14:editId="17F49417">
            <wp:extent cx="6120130" cy="708660"/>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08660"/>
                    </a:xfrm>
                    <a:prstGeom prst="rect">
                      <a:avLst/>
                    </a:prstGeom>
                    <a:noFill/>
                    <a:ln>
                      <a:noFill/>
                    </a:ln>
                  </pic:spPr>
                </pic:pic>
              </a:graphicData>
            </a:graphic>
          </wp:inline>
        </w:drawing>
      </w:r>
    </w:p>
    <w:p w14:paraId="130F8F4A" w14:textId="77777777" w:rsidR="00896812" w:rsidRDefault="00896812" w:rsidP="00953498">
      <w:pPr>
        <w:pStyle w:val="Listeavsnitt"/>
        <w:ind w:left="360"/>
      </w:pPr>
    </w:p>
    <w:p w14:paraId="130F8F4B" w14:textId="77777777" w:rsidR="001126C0" w:rsidRDefault="001126C0" w:rsidP="001126C0">
      <w:pPr>
        <w:pStyle w:val="Overskrift3"/>
        <w:numPr>
          <w:ilvl w:val="1"/>
          <w:numId w:val="6"/>
        </w:numPr>
      </w:pPr>
      <w:bookmarkStart w:id="7" w:name="_Toc410733938"/>
      <w:bookmarkStart w:id="8" w:name="_Toc62640321"/>
      <w:r>
        <w:t>F</w:t>
      </w:r>
      <w:r w:rsidRPr="00516A1B">
        <w:t>orskjeller mellom regnskapsmessig konsolidering og konsolidering etter kapitaldekningsbestemmelsene</w:t>
      </w:r>
      <w:bookmarkEnd w:id="7"/>
      <w:bookmarkEnd w:id="8"/>
    </w:p>
    <w:p w14:paraId="130F8F4D" w14:textId="5A56A1A7" w:rsidR="001126C0" w:rsidRPr="001126C0" w:rsidRDefault="00036879" w:rsidP="001126C0">
      <w:r>
        <w:rPr>
          <w:noProof/>
          <w:lang w:eastAsia="nb-NO"/>
        </w:rPr>
        <w:t>Samtlige selskaper er konsolidert etter de samme prinsipper i regnskapsmessig sammenheng som i kapitaldekningsmessig sammenheng.</w:t>
      </w:r>
    </w:p>
    <w:p w14:paraId="130F8F4E" w14:textId="77777777" w:rsidR="001126C0" w:rsidRDefault="001126C0" w:rsidP="00953498">
      <w:pPr>
        <w:pStyle w:val="Listeavsnitt"/>
        <w:ind w:left="360"/>
      </w:pPr>
    </w:p>
    <w:p w14:paraId="130F8F4F" w14:textId="77777777" w:rsidR="00627974" w:rsidRDefault="00627974" w:rsidP="00C73ADF"/>
    <w:p w14:paraId="130F8F50" w14:textId="77777777" w:rsidR="00627974" w:rsidRDefault="00627974" w:rsidP="001126C0">
      <w:pPr>
        <w:pStyle w:val="Overskrift2"/>
        <w:numPr>
          <w:ilvl w:val="0"/>
          <w:numId w:val="6"/>
        </w:numPr>
      </w:pPr>
      <w:bookmarkStart w:id="9" w:name="_Toc219019206"/>
      <w:bookmarkStart w:id="10" w:name="_Toc410733940"/>
      <w:bookmarkStart w:id="11" w:name="_Toc410889441"/>
      <w:bookmarkStart w:id="12" w:name="_Toc62640322"/>
      <w:r w:rsidRPr="003075E6">
        <w:lastRenderedPageBreak/>
        <w:t>Kapitalkrav</w:t>
      </w:r>
      <w:bookmarkEnd w:id="9"/>
      <w:bookmarkEnd w:id="10"/>
      <w:bookmarkEnd w:id="11"/>
      <w:bookmarkEnd w:id="12"/>
    </w:p>
    <w:p w14:paraId="130F8F51" w14:textId="77777777" w:rsidR="00627974" w:rsidRDefault="00627974" w:rsidP="001126C0">
      <w:pPr>
        <w:pStyle w:val="Overskrift3"/>
        <w:numPr>
          <w:ilvl w:val="1"/>
          <w:numId w:val="6"/>
        </w:numPr>
      </w:pPr>
      <w:bookmarkStart w:id="13" w:name="_Toc62640323"/>
      <w:r w:rsidRPr="00953498">
        <w:t>Ansvarlig kapital og kapitalkrav</w:t>
      </w:r>
      <w:bookmarkEnd w:id="13"/>
    </w:p>
    <w:p w14:paraId="130F8F55" w14:textId="1CF1DE95" w:rsidR="001126C0" w:rsidRDefault="001126C0" w:rsidP="001126C0">
      <w:pPr>
        <w:rPr>
          <w:rFonts w:ascii="Lucida Sans" w:hAnsi="Lucida Sans"/>
        </w:rPr>
      </w:pPr>
      <w:r w:rsidRPr="001126C0">
        <w:rPr>
          <w:rFonts w:ascii="Lucida Sans" w:hAnsi="Lucida Sans"/>
        </w:rPr>
        <w:t xml:space="preserve">Tabellen nedenfor viser beregningsgrunnlag for kredittrisiko fordelt på de enkelte engasjementskategoriene slik disse er definert i </w:t>
      </w:r>
      <w:proofErr w:type="spellStart"/>
      <w:r w:rsidRPr="001126C0">
        <w:rPr>
          <w:rFonts w:ascii="Lucida Sans" w:hAnsi="Lucida Sans"/>
        </w:rPr>
        <w:t>kapitalkravsforskriften</w:t>
      </w:r>
      <w:proofErr w:type="spellEnd"/>
      <w:r w:rsidRPr="001126C0">
        <w:rPr>
          <w:rFonts w:ascii="Lucida Sans" w:hAnsi="Lucida Sans"/>
        </w:rPr>
        <w:t>. I tillegg vises kapitalkrav for motpartsrisiko og operasjonell risiko og samlet beregningsgrunnlag</w:t>
      </w:r>
      <w:r w:rsidR="00751C75">
        <w:rPr>
          <w:rFonts w:ascii="Lucida Sans" w:hAnsi="Lucida Sans"/>
        </w:rPr>
        <w:t>.</w:t>
      </w:r>
    </w:p>
    <w:p w14:paraId="05F4C5BC" w14:textId="5ED8AC43" w:rsidR="00036879" w:rsidRDefault="00036879" w:rsidP="001126C0">
      <w:pPr>
        <w:rPr>
          <w:rFonts w:ascii="Lucida Sans" w:hAnsi="Lucida Sans"/>
        </w:rPr>
      </w:pPr>
      <w:r w:rsidRPr="00036879">
        <w:drawing>
          <wp:inline distT="0" distB="0" distL="0" distR="0" wp14:anchorId="1351BC56" wp14:editId="554C7724">
            <wp:extent cx="5600700" cy="4048125"/>
            <wp:effectExtent l="0" t="0" r="0" b="9525"/>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4048125"/>
                    </a:xfrm>
                    <a:prstGeom prst="rect">
                      <a:avLst/>
                    </a:prstGeom>
                    <a:noFill/>
                    <a:ln>
                      <a:noFill/>
                    </a:ln>
                  </pic:spPr>
                </pic:pic>
              </a:graphicData>
            </a:graphic>
          </wp:inline>
        </w:drawing>
      </w:r>
    </w:p>
    <w:p w14:paraId="39555FE1" w14:textId="742F8FEE" w:rsidR="00036879" w:rsidRPr="001126C0" w:rsidRDefault="00036879" w:rsidP="001126C0">
      <w:pPr>
        <w:rPr>
          <w:rFonts w:ascii="Lucida Sans" w:hAnsi="Lucida Sans"/>
        </w:rPr>
      </w:pPr>
      <w:r w:rsidRPr="00036879">
        <w:lastRenderedPageBreak/>
        <w:drawing>
          <wp:inline distT="0" distB="0" distL="0" distR="0" wp14:anchorId="5B742193" wp14:editId="2605B7F2">
            <wp:extent cx="5067300" cy="3111046"/>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5052" cy="3115805"/>
                    </a:xfrm>
                    <a:prstGeom prst="rect">
                      <a:avLst/>
                    </a:prstGeom>
                    <a:noFill/>
                    <a:ln>
                      <a:noFill/>
                    </a:ln>
                  </pic:spPr>
                </pic:pic>
              </a:graphicData>
            </a:graphic>
          </wp:inline>
        </w:drawing>
      </w:r>
    </w:p>
    <w:p w14:paraId="4215D271" w14:textId="1772BED8" w:rsidR="00F72417" w:rsidRDefault="00F72417" w:rsidP="00627974">
      <w:r w:rsidRPr="00F72417">
        <w:t>Banken har blitt underlagt et P</w:t>
      </w:r>
      <w:r w:rsidR="00AB67E5" w:rsidRPr="00F72417">
        <w:t xml:space="preserve">ilar 2-krav på </w:t>
      </w:r>
      <w:r w:rsidR="00036879">
        <w:t>2</w:t>
      </w:r>
      <w:r w:rsidR="00AB67E5" w:rsidRPr="00F72417">
        <w:t xml:space="preserve"> %.</w:t>
      </w:r>
      <w:r w:rsidR="004B6D1B">
        <w:t xml:space="preserve"> Banken har et kapitalmål på </w:t>
      </w:r>
      <w:r w:rsidR="00036879">
        <w:t>16</w:t>
      </w:r>
      <w:r w:rsidR="004B6D1B">
        <w:t xml:space="preserve"> % for ren kjernekapitaldekning.</w:t>
      </w:r>
    </w:p>
    <w:p w14:paraId="281030AC" w14:textId="446E8965" w:rsidR="00036879" w:rsidRDefault="00036879" w:rsidP="00627974">
      <w:r>
        <w:t>Fra 01.01.2018 skal alle banker rapportere ka</w:t>
      </w:r>
      <w:r w:rsidR="006626B1">
        <w:t>p</w:t>
      </w:r>
      <w:r>
        <w:t>italdekning konsolidert med eierandel i samarbeidsgrupper.  Banken har en eierandel på 1,48 % i Eika Gruppen og på 1,65 % i Eika Boligkreditt AS.</w:t>
      </w:r>
    </w:p>
    <w:p w14:paraId="130F8F5A" w14:textId="0B2593A1" w:rsidR="001126C0" w:rsidRDefault="006626B1" w:rsidP="00627974">
      <w:pPr>
        <w:rPr>
          <w:strike/>
        </w:rPr>
      </w:pPr>
      <w:r w:rsidRPr="006626B1">
        <w:drawing>
          <wp:inline distT="0" distB="0" distL="0" distR="0" wp14:anchorId="52BE7EB0" wp14:editId="047B53F1">
            <wp:extent cx="5381625" cy="3799321"/>
            <wp:effectExtent l="0" t="0" r="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8206" cy="3818087"/>
                    </a:xfrm>
                    <a:prstGeom prst="rect">
                      <a:avLst/>
                    </a:prstGeom>
                    <a:noFill/>
                    <a:ln>
                      <a:noFill/>
                    </a:ln>
                  </pic:spPr>
                </pic:pic>
              </a:graphicData>
            </a:graphic>
          </wp:inline>
        </w:drawing>
      </w:r>
    </w:p>
    <w:p w14:paraId="130F8F5B" w14:textId="21F9D627" w:rsidR="001126C0" w:rsidRDefault="006626B1" w:rsidP="00627974">
      <w:pPr>
        <w:rPr>
          <w:strike/>
        </w:rPr>
      </w:pPr>
      <w:r w:rsidRPr="006626B1">
        <w:lastRenderedPageBreak/>
        <w:drawing>
          <wp:inline distT="0" distB="0" distL="0" distR="0" wp14:anchorId="7DC9F545" wp14:editId="336AC44F">
            <wp:extent cx="5734050" cy="3438525"/>
            <wp:effectExtent l="0" t="0" r="0" b="9525"/>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3438525"/>
                    </a:xfrm>
                    <a:prstGeom prst="rect">
                      <a:avLst/>
                    </a:prstGeom>
                    <a:noFill/>
                    <a:ln>
                      <a:noFill/>
                    </a:ln>
                  </pic:spPr>
                </pic:pic>
              </a:graphicData>
            </a:graphic>
          </wp:inline>
        </w:drawing>
      </w:r>
    </w:p>
    <w:p w14:paraId="130F8F5D" w14:textId="77777777" w:rsidR="00627974" w:rsidRDefault="00627974" w:rsidP="001126C0">
      <w:pPr>
        <w:pStyle w:val="Overskrift3"/>
        <w:numPr>
          <w:ilvl w:val="1"/>
          <w:numId w:val="6"/>
        </w:numPr>
      </w:pPr>
      <w:bookmarkStart w:id="14" w:name="_Toc410733942"/>
      <w:bookmarkStart w:id="15" w:name="_Toc62640324"/>
      <w:r w:rsidRPr="003075E6">
        <w:t>Bufferkrav</w:t>
      </w:r>
      <w:bookmarkEnd w:id="14"/>
      <w:bookmarkEnd w:id="15"/>
    </w:p>
    <w:p w14:paraId="130F8F5E" w14:textId="2F7B206F" w:rsidR="00627974" w:rsidRDefault="00627974" w:rsidP="00627974">
      <w:pPr>
        <w:rPr>
          <w:rFonts w:ascii="Lucida Sans" w:hAnsi="Lucida Sans"/>
        </w:rPr>
      </w:pPr>
      <w:r w:rsidRPr="003075E6">
        <w:rPr>
          <w:rFonts w:ascii="Lucida Sans" w:hAnsi="Lucida Sans"/>
        </w:rPr>
        <w:t>Banken har per 31.12.20</w:t>
      </w:r>
      <w:r w:rsidR="006626B1">
        <w:rPr>
          <w:rFonts w:ascii="Lucida Sans" w:hAnsi="Lucida Sans"/>
        </w:rPr>
        <w:t>20</w:t>
      </w:r>
      <w:r w:rsidRPr="003075E6">
        <w:rPr>
          <w:rFonts w:ascii="Lucida Sans" w:hAnsi="Lucida Sans"/>
        </w:rPr>
        <w:t xml:space="preserve"> et kombinert kapitalbufferkrav på kr </w:t>
      </w:r>
      <w:r w:rsidR="006626B1">
        <w:rPr>
          <w:rFonts w:ascii="Lucida Sans" w:hAnsi="Lucida Sans"/>
        </w:rPr>
        <w:t>199,3</w:t>
      </w:r>
      <w:r w:rsidRPr="003075E6">
        <w:rPr>
          <w:rFonts w:ascii="Lucida Sans" w:hAnsi="Lucida Sans"/>
        </w:rPr>
        <w:t xml:space="preserve"> millioner:</w:t>
      </w:r>
    </w:p>
    <w:p w14:paraId="2197FC3F" w14:textId="7A253227" w:rsidR="006626B1" w:rsidRDefault="006626B1" w:rsidP="00627974">
      <w:pPr>
        <w:rPr>
          <w:rFonts w:ascii="Lucida Sans" w:hAnsi="Lucida Sans"/>
        </w:rPr>
      </w:pPr>
      <w:r w:rsidRPr="006626B1">
        <w:drawing>
          <wp:inline distT="0" distB="0" distL="0" distR="0" wp14:anchorId="6BD0A9E7" wp14:editId="4B8D3DC6">
            <wp:extent cx="6120130" cy="1364615"/>
            <wp:effectExtent l="0" t="0" r="0" b="6985"/>
            <wp:docPr id="65" name="Bil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1364615"/>
                    </a:xfrm>
                    <a:prstGeom prst="rect">
                      <a:avLst/>
                    </a:prstGeom>
                    <a:noFill/>
                    <a:ln>
                      <a:noFill/>
                    </a:ln>
                  </pic:spPr>
                </pic:pic>
              </a:graphicData>
            </a:graphic>
          </wp:inline>
        </w:drawing>
      </w:r>
    </w:p>
    <w:p w14:paraId="130F8F67" w14:textId="3C71D13E" w:rsidR="00953498" w:rsidRDefault="00953498" w:rsidP="001126C0">
      <w:pPr>
        <w:pStyle w:val="Overskrift3"/>
        <w:numPr>
          <w:ilvl w:val="1"/>
          <w:numId w:val="6"/>
        </w:numPr>
      </w:pPr>
      <w:bookmarkStart w:id="16" w:name="_Toc62640325"/>
      <w:r w:rsidRPr="00953498">
        <w:t>Uvektet kjernekapitalandel</w:t>
      </w:r>
      <w:bookmarkEnd w:id="16"/>
    </w:p>
    <w:p w14:paraId="25A2EBC5" w14:textId="51177162" w:rsidR="008D1C31" w:rsidRDefault="00953498" w:rsidP="00953498">
      <w:r w:rsidRPr="00953498">
        <w:t>Uvektet kjernekapitalandel regnes ut fra beregnet kjernekapital</w:t>
      </w:r>
      <w:r w:rsidR="004B6D1B">
        <w:t>,</w:t>
      </w:r>
      <w:r w:rsidRPr="00953498">
        <w:t xml:space="preserve"> med og uten overgangsordninger</w:t>
      </w:r>
      <w:r w:rsidR="004B6D1B">
        <w:t>,</w:t>
      </w:r>
      <w:r w:rsidRPr="00953498">
        <w:t xml:space="preserve"> delt på engasjementsbeløp for balanseførte og ikke balanseførte poster</w:t>
      </w:r>
      <w:r w:rsidR="004B6D1B">
        <w:t xml:space="preserve"> og engasjementsbeløp for derivater og gjenkjøpsavtaler som ikke er balanseført. Ikke balanseførte poster blir </w:t>
      </w:r>
      <w:r w:rsidRPr="00953498">
        <w:t>justert for konverteringsfaktorer (</w:t>
      </w:r>
      <w:proofErr w:type="spellStart"/>
      <w:r w:rsidRPr="00953498">
        <w:t>iht</w:t>
      </w:r>
      <w:proofErr w:type="spellEnd"/>
      <w:r w:rsidRPr="00953498">
        <w:t xml:space="preserve"> i CR</w:t>
      </w:r>
      <w:r>
        <w:t xml:space="preserve">R artikkel 429, </w:t>
      </w:r>
      <w:proofErr w:type="spellStart"/>
      <w:r>
        <w:t>nr</w:t>
      </w:r>
      <w:proofErr w:type="spellEnd"/>
      <w:r>
        <w:t xml:space="preserve"> 10)</w:t>
      </w:r>
      <w:r w:rsidR="004B6D1B">
        <w:t>.</w:t>
      </w:r>
    </w:p>
    <w:p w14:paraId="0B659C97" w14:textId="38868D6C" w:rsidR="00A35B6B" w:rsidRPr="003075E6" w:rsidRDefault="00A35B6B" w:rsidP="00953498">
      <w:r>
        <w:t xml:space="preserve">Uvektet </w:t>
      </w:r>
      <w:proofErr w:type="spellStart"/>
      <w:r>
        <w:t>kjernetapital</w:t>
      </w:r>
      <w:proofErr w:type="spellEnd"/>
      <w:r>
        <w:t xml:space="preserve"> er 11,9 % mot 11,25 i 2019.</w:t>
      </w:r>
    </w:p>
    <w:p w14:paraId="130F8F69" w14:textId="1CEC3410" w:rsidR="00627974" w:rsidRDefault="00627974" w:rsidP="00C73ADF"/>
    <w:p w14:paraId="130F8F6C" w14:textId="77777777" w:rsidR="00953498" w:rsidRDefault="00953498" w:rsidP="001126C0">
      <w:pPr>
        <w:pStyle w:val="Overskrift2"/>
        <w:numPr>
          <w:ilvl w:val="0"/>
          <w:numId w:val="6"/>
        </w:numPr>
      </w:pPr>
      <w:bookmarkStart w:id="17" w:name="_Toc410889442"/>
      <w:bookmarkStart w:id="18" w:name="_Toc62640326"/>
      <w:r w:rsidRPr="00267441">
        <w:lastRenderedPageBreak/>
        <w:t>Kredittrisiko og motpartsrisiko</w:t>
      </w:r>
      <w:bookmarkEnd w:id="17"/>
      <w:bookmarkEnd w:id="18"/>
    </w:p>
    <w:p w14:paraId="130F8F6D" w14:textId="77777777" w:rsidR="00953498" w:rsidRPr="00DA1E66" w:rsidRDefault="00953498" w:rsidP="00CE11E9">
      <w:pPr>
        <w:pStyle w:val="Overskrift3"/>
        <w:numPr>
          <w:ilvl w:val="1"/>
          <w:numId w:val="6"/>
        </w:numPr>
      </w:pPr>
      <w:bookmarkStart w:id="19" w:name="_Toc62640327"/>
      <w:r w:rsidRPr="00DA1E66">
        <w:t>Definisjon misligholdte engasjement:</w:t>
      </w:r>
      <w:bookmarkEnd w:id="19"/>
      <w:r w:rsidRPr="00DA1E66">
        <w:t xml:space="preserve"> </w:t>
      </w:r>
    </w:p>
    <w:p w14:paraId="1F316137" w14:textId="77777777" w:rsidR="00A35B6B" w:rsidRPr="00284716" w:rsidRDefault="00A35B6B" w:rsidP="00A35B6B">
      <w:pPr>
        <w:spacing w:line="240" w:lineRule="auto"/>
        <w:rPr>
          <w:rFonts w:ascii="Lucida Sans Unicode" w:hAnsi="Lucida Sans Unicode" w:cs="Lucida Sans Unicode"/>
          <w:sz w:val="16"/>
          <w:szCs w:val="16"/>
        </w:rPr>
      </w:pPr>
      <w:bookmarkStart w:id="20" w:name="_Toc383089230"/>
      <w:bookmarkStart w:id="21" w:name="_Toc219019213"/>
      <w:r w:rsidRPr="00284716">
        <w:rPr>
          <w:rFonts w:ascii="Lucida Sans Unicode" w:hAnsi="Lucida Sans Unicode" w:cs="Lucida Sans Unicode"/>
          <w:sz w:val="16"/>
          <w:szCs w:val="16"/>
        </w:rPr>
        <w:t>Mislighold er definert som overtrekk på minimum 1.000 kroner i mer enn 90 sammenhengende dager. En kundes engasjement vil også bli klassifisert som misligholdt dersom banken vurderer at kundens økonomiske situasjon gjør det sannsynlig at kundens finansielle forpliktelser overfor banken ikke vil bli oppfylt. I slike tilfeller vil kunden bli tapsmarkert og det blir gjennomført en individuell vurdering av nedskrivningsbehovet.</w:t>
      </w:r>
    </w:p>
    <w:p w14:paraId="446B46BC" w14:textId="77777777" w:rsidR="00A35B6B" w:rsidRPr="00284716" w:rsidRDefault="00A35B6B" w:rsidP="00A35B6B">
      <w:pPr>
        <w:spacing w:after="0" w:line="240" w:lineRule="auto"/>
        <w:rPr>
          <w:rFonts w:ascii="Lucida Sans Unicode" w:hAnsi="Lucida Sans Unicode" w:cs="Lucida Sans Unicode"/>
          <w:sz w:val="16"/>
          <w:szCs w:val="16"/>
        </w:rPr>
      </w:pPr>
      <w:r w:rsidRPr="00284716">
        <w:rPr>
          <w:rFonts w:ascii="Lucida Sans Unicode" w:hAnsi="Lucida Sans Unicode" w:cs="Lucida Sans Unicode"/>
          <w:sz w:val="16"/>
          <w:szCs w:val="16"/>
        </w:rPr>
        <w:t>Fra og med 1.1.2021 innføres ny definisjon av mislighold, det følger av disse reglene at en kunde vil bli klassifisert som misligholdt dersom minst ett av følgende kriterier er oppfylt:</w:t>
      </w:r>
    </w:p>
    <w:p w14:paraId="62856646" w14:textId="77777777" w:rsidR="00A35B6B" w:rsidRPr="00284716" w:rsidRDefault="00A35B6B" w:rsidP="00A35B6B">
      <w:pPr>
        <w:pStyle w:val="Listeavsnitt"/>
        <w:numPr>
          <w:ilvl w:val="0"/>
          <w:numId w:val="22"/>
        </w:numPr>
        <w:spacing w:after="0" w:line="240" w:lineRule="auto"/>
        <w:rPr>
          <w:rFonts w:ascii="Lucida Sans Unicode" w:hAnsi="Lucida Sans Unicode" w:cs="Lucida Sans Unicode"/>
          <w:sz w:val="16"/>
          <w:szCs w:val="16"/>
        </w:rPr>
      </w:pPr>
      <w:r w:rsidRPr="00284716">
        <w:rPr>
          <w:rFonts w:ascii="Lucida Sans Unicode" w:hAnsi="Lucida Sans Unicode" w:cs="Lucida Sans Unicode"/>
          <w:sz w:val="16"/>
          <w:szCs w:val="16"/>
        </w:rPr>
        <w:t>Kunden har et overtrekk som både overstiger en relativ- og absolutt grense i mer enn 90 sammenhengende dager. For både PM- og BM-kunder er den relative grensen lik 1% av kundens samlede eksponeringer.</w:t>
      </w:r>
    </w:p>
    <w:p w14:paraId="32B16C50" w14:textId="77777777" w:rsidR="00A35B6B" w:rsidRPr="00284716" w:rsidRDefault="00A35B6B" w:rsidP="00A35B6B">
      <w:pPr>
        <w:pStyle w:val="Listeavsnitt"/>
        <w:numPr>
          <w:ilvl w:val="1"/>
          <w:numId w:val="22"/>
        </w:numPr>
        <w:spacing w:after="160" w:line="240" w:lineRule="auto"/>
        <w:rPr>
          <w:rFonts w:ascii="Lucida Sans Unicode" w:hAnsi="Lucida Sans Unicode" w:cs="Lucida Sans Unicode"/>
          <w:sz w:val="16"/>
          <w:szCs w:val="16"/>
        </w:rPr>
      </w:pPr>
      <w:r w:rsidRPr="00284716">
        <w:rPr>
          <w:rFonts w:ascii="Lucida Sans Unicode" w:hAnsi="Lucida Sans Unicode" w:cs="Lucida Sans Unicode"/>
          <w:sz w:val="16"/>
          <w:szCs w:val="16"/>
        </w:rPr>
        <w:t>For PM-kunder er den absolutte grensen lik 1.000 kroner</w:t>
      </w:r>
    </w:p>
    <w:p w14:paraId="5B950D95" w14:textId="77777777" w:rsidR="00A35B6B" w:rsidRPr="00284716" w:rsidRDefault="00A35B6B" w:rsidP="00A35B6B">
      <w:pPr>
        <w:pStyle w:val="Listeavsnitt"/>
        <w:numPr>
          <w:ilvl w:val="1"/>
          <w:numId w:val="22"/>
        </w:numPr>
        <w:spacing w:after="160" w:line="240" w:lineRule="auto"/>
        <w:rPr>
          <w:rFonts w:ascii="Lucida Sans Unicode" w:hAnsi="Lucida Sans Unicode" w:cs="Lucida Sans Unicode"/>
          <w:sz w:val="16"/>
          <w:szCs w:val="16"/>
        </w:rPr>
      </w:pPr>
      <w:r w:rsidRPr="00284716">
        <w:rPr>
          <w:rFonts w:ascii="Lucida Sans Unicode" w:hAnsi="Lucida Sans Unicode" w:cs="Lucida Sans Unicode"/>
          <w:sz w:val="16"/>
          <w:szCs w:val="16"/>
        </w:rPr>
        <w:t>For BM-kunder er den absolutte grensen lik 2.000 kroner</w:t>
      </w:r>
    </w:p>
    <w:p w14:paraId="0036E2C7" w14:textId="77777777" w:rsidR="00A35B6B" w:rsidRPr="00284716" w:rsidRDefault="00A35B6B" w:rsidP="00A35B6B">
      <w:pPr>
        <w:pStyle w:val="Listeavsnitt"/>
        <w:numPr>
          <w:ilvl w:val="0"/>
          <w:numId w:val="22"/>
        </w:numPr>
        <w:spacing w:after="160" w:line="240" w:lineRule="auto"/>
        <w:rPr>
          <w:rFonts w:ascii="Lucida Sans Unicode" w:hAnsi="Lucida Sans Unicode" w:cs="Lucida Sans Unicode"/>
          <w:sz w:val="16"/>
          <w:szCs w:val="16"/>
        </w:rPr>
      </w:pPr>
      <w:r w:rsidRPr="00284716">
        <w:rPr>
          <w:rFonts w:ascii="Lucida Sans Unicode" w:hAnsi="Lucida Sans Unicode" w:cs="Lucida Sans Unicode"/>
          <w:sz w:val="16"/>
          <w:szCs w:val="16"/>
        </w:rPr>
        <w:t>Det er vurdert som sannsynlig at kunden ikke vil kunne innfri sine kredittforpliktelser overfor banken (</w:t>
      </w:r>
      <w:proofErr w:type="spellStart"/>
      <w:r w:rsidRPr="00284716">
        <w:rPr>
          <w:rFonts w:ascii="Lucida Sans Unicode" w:hAnsi="Lucida Sans Unicode" w:cs="Lucida Sans Unicode"/>
          <w:sz w:val="16"/>
          <w:szCs w:val="16"/>
        </w:rPr>
        <w:t>unlikely</w:t>
      </w:r>
      <w:proofErr w:type="spellEnd"/>
      <w:r w:rsidRPr="00284716">
        <w:rPr>
          <w:rFonts w:ascii="Lucida Sans Unicode" w:hAnsi="Lucida Sans Unicode" w:cs="Lucida Sans Unicode"/>
          <w:sz w:val="16"/>
          <w:szCs w:val="16"/>
        </w:rPr>
        <w:t xml:space="preserve"> to </w:t>
      </w:r>
      <w:proofErr w:type="spellStart"/>
      <w:r w:rsidRPr="00284716">
        <w:rPr>
          <w:rFonts w:ascii="Lucida Sans Unicode" w:hAnsi="Lucida Sans Unicode" w:cs="Lucida Sans Unicode"/>
          <w:sz w:val="16"/>
          <w:szCs w:val="16"/>
        </w:rPr>
        <w:t>pay</w:t>
      </w:r>
      <w:proofErr w:type="spellEnd"/>
      <w:r w:rsidRPr="00284716">
        <w:rPr>
          <w:rFonts w:ascii="Lucida Sans Unicode" w:hAnsi="Lucida Sans Unicode" w:cs="Lucida Sans Unicode"/>
          <w:sz w:val="16"/>
          <w:szCs w:val="16"/>
        </w:rPr>
        <w:t xml:space="preserve"> – UTP).</w:t>
      </w:r>
    </w:p>
    <w:p w14:paraId="54A69102" w14:textId="77777777" w:rsidR="00A35B6B" w:rsidRPr="00284716" w:rsidRDefault="00A35B6B" w:rsidP="00A35B6B">
      <w:pPr>
        <w:pStyle w:val="Listeavsnitt"/>
        <w:numPr>
          <w:ilvl w:val="0"/>
          <w:numId w:val="22"/>
        </w:numPr>
        <w:spacing w:after="160" w:line="240" w:lineRule="auto"/>
        <w:rPr>
          <w:rFonts w:ascii="Lucida Sans Unicode" w:hAnsi="Lucida Sans Unicode" w:cs="Lucida Sans Unicode"/>
          <w:sz w:val="16"/>
          <w:szCs w:val="16"/>
        </w:rPr>
      </w:pPr>
      <w:r w:rsidRPr="00284716">
        <w:rPr>
          <w:rFonts w:ascii="Lucida Sans Unicode" w:hAnsi="Lucida Sans Unicode" w:cs="Lucida Sans Unicode"/>
          <w:sz w:val="16"/>
          <w:szCs w:val="16"/>
        </w:rPr>
        <w:t>Kunden er smittet av en annen kunde som er i mislighold i henhold til de to første kriteriene nevnt over.</w:t>
      </w:r>
    </w:p>
    <w:p w14:paraId="130F8F70" w14:textId="77777777" w:rsidR="00BE7F9A" w:rsidRPr="00CE11E9" w:rsidRDefault="00BE7F9A" w:rsidP="00CE11E9">
      <w:pPr>
        <w:pStyle w:val="Overskrift3"/>
        <w:numPr>
          <w:ilvl w:val="1"/>
          <w:numId w:val="6"/>
        </w:numPr>
      </w:pPr>
      <w:bookmarkStart w:id="22" w:name="_Toc62640328"/>
      <w:r w:rsidRPr="00BE7F9A">
        <w:t>Metode for beregning av nedskrivninger</w:t>
      </w:r>
      <w:bookmarkEnd w:id="22"/>
    </w:p>
    <w:p w14:paraId="4053BD04" w14:textId="77777777" w:rsidR="00A35B6B" w:rsidRPr="00B609D7" w:rsidRDefault="00A35B6B" w:rsidP="00A35B6B">
      <w:pPr>
        <w:spacing w:line="240" w:lineRule="auto"/>
        <w:rPr>
          <w:rFonts w:ascii="Lucida Sans Unicode" w:hAnsi="Lucida Sans Unicode" w:cs="Lucida Sans Unicode"/>
          <w:sz w:val="16"/>
          <w:szCs w:val="16"/>
        </w:rPr>
      </w:pPr>
      <w:r w:rsidRPr="00B609D7">
        <w:rPr>
          <w:rFonts w:ascii="Lucida Sans Unicode" w:hAnsi="Lucida Sans Unicode" w:cs="Lucida Sans Unicode"/>
          <w:sz w:val="16"/>
          <w:szCs w:val="16"/>
        </w:rPr>
        <w:t>Banken gjennomgår hele bedriftsporteføljen årlig, og store og spesielt risikable engasjementer gjennomgås løpende. Lån til privatpersoner gjennomgås når de er misligholdt eller dersom de har dårlig betalingshistorikk. Ved estimering av nedskrivning på enkelt kunder vurderes både aktuell og forventet fremtidig finansiell stilling, og for engasjementer i bedriftsmarkedet også markedssituasjonen for kunden, aktuell sektor og markedsforhold generelt. Muligheten for rekapitalisering, restrukturering og refinansiering vurderes også. Samlet vurdering av disse forholdene legges til grunn for estimering av fremtidig kontantstrøm. Kontantstrømmene estimeres som hovedregel over en periode tilsvarende forventet løpetid for den aktuelle kunden, eller gruppe av kunder dersom dette er likhetstrekk knyttet til kundene. Banken avsetter for tap i steg 3 dersom kunden er kredittforringet. Ved vurdering av tapsavsetningen hefter det usikkerhet ved estimering av tidspunkt og beløp for fremtidige kontantstrømmer inkludert verdsettelse av sikkerhetsstillelse. Det vises til note 11 for oversikt over nedskrivning på utlån og garantier.</w:t>
      </w:r>
    </w:p>
    <w:p w14:paraId="130F8F73" w14:textId="77777777" w:rsidR="00953498" w:rsidRPr="00953498" w:rsidRDefault="00953498" w:rsidP="001126C0">
      <w:pPr>
        <w:pStyle w:val="Overskrift3"/>
        <w:numPr>
          <w:ilvl w:val="1"/>
          <w:numId w:val="6"/>
        </w:numPr>
      </w:pPr>
      <w:bookmarkStart w:id="23" w:name="_Toc62640329"/>
      <w:r w:rsidRPr="00953498">
        <w:t>Engasjementer fordelt på engasjementstyper, typer av motparter og geografiske områder</w:t>
      </w:r>
      <w:bookmarkEnd w:id="20"/>
      <w:bookmarkEnd w:id="23"/>
      <w:r w:rsidRPr="00953498">
        <w:t xml:space="preserve"> </w:t>
      </w:r>
      <w:bookmarkEnd w:id="21"/>
    </w:p>
    <w:p w14:paraId="130F8F74" w14:textId="72005CF9" w:rsidR="00BE7F9A" w:rsidRDefault="00BE7F9A" w:rsidP="00BE7F9A">
      <w:pPr>
        <w:rPr>
          <w:rFonts w:ascii="Lucida Sans" w:hAnsi="Lucida Sans"/>
        </w:rPr>
      </w:pPr>
      <w:bookmarkStart w:id="24" w:name="_Toc219019214"/>
      <w:bookmarkStart w:id="25" w:name="_Toc383089231"/>
      <w:r w:rsidRPr="00BE7F9A">
        <w:rPr>
          <w:rFonts w:ascii="Lucida Sans" w:hAnsi="Lucida Sans"/>
        </w:rPr>
        <w:t xml:space="preserve">Matrisen viser samlet engasjementsbeløp etter </w:t>
      </w:r>
      <w:r w:rsidR="00C67289">
        <w:rPr>
          <w:rFonts w:ascii="Lucida Sans" w:hAnsi="Lucida Sans"/>
        </w:rPr>
        <w:t>steg 3</w:t>
      </w:r>
      <w:r w:rsidRPr="00BE7F9A">
        <w:rPr>
          <w:rFonts w:ascii="Lucida Sans" w:hAnsi="Lucida Sans"/>
        </w:rPr>
        <w:t xml:space="preserve"> nedskrivninger fordelt på engasjementstyper, typer av motparter og geografiske områder. </w:t>
      </w:r>
    </w:p>
    <w:p w14:paraId="12FBA6B5" w14:textId="3AB38FE6" w:rsidR="00A35B6B" w:rsidRPr="00BE7F9A" w:rsidRDefault="00A25025" w:rsidP="00BE7F9A">
      <w:pPr>
        <w:rPr>
          <w:rFonts w:ascii="Lucida Sans" w:hAnsi="Lucida Sans"/>
        </w:rPr>
      </w:pPr>
      <w:r w:rsidRPr="00A25025">
        <w:lastRenderedPageBreak/>
        <w:drawing>
          <wp:inline distT="0" distB="0" distL="0" distR="0" wp14:anchorId="687E8871" wp14:editId="4BE7AE44">
            <wp:extent cx="6120130" cy="4387215"/>
            <wp:effectExtent l="0" t="0" r="0" b="0"/>
            <wp:docPr id="67" name="Bil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4387215"/>
                    </a:xfrm>
                    <a:prstGeom prst="rect">
                      <a:avLst/>
                    </a:prstGeom>
                    <a:noFill/>
                    <a:ln>
                      <a:noFill/>
                    </a:ln>
                  </pic:spPr>
                </pic:pic>
              </a:graphicData>
            </a:graphic>
          </wp:inline>
        </w:drawing>
      </w:r>
    </w:p>
    <w:p w14:paraId="130F8F77" w14:textId="1215578C" w:rsidR="00BE7F9A" w:rsidRDefault="00BE7F9A" w:rsidP="00BE7F9A"/>
    <w:p w14:paraId="130F8F78" w14:textId="77777777" w:rsidR="0017594B" w:rsidRDefault="0017594B" w:rsidP="0017594B"/>
    <w:p w14:paraId="130F8F79" w14:textId="6BB2D3F4" w:rsidR="0017594B" w:rsidRPr="00267441" w:rsidRDefault="0017594B" w:rsidP="001126C0">
      <w:pPr>
        <w:pStyle w:val="Overskrift3"/>
        <w:numPr>
          <w:ilvl w:val="1"/>
          <w:numId w:val="6"/>
        </w:numPr>
      </w:pPr>
      <w:bookmarkStart w:id="26" w:name="_Toc62640330"/>
      <w:r w:rsidRPr="00267441">
        <w:t>Engasjementer fordelt på engasjementstyper og gjenstående løpetid</w:t>
      </w:r>
      <w:bookmarkEnd w:id="24"/>
      <w:bookmarkEnd w:id="25"/>
      <w:bookmarkEnd w:id="26"/>
    </w:p>
    <w:p w14:paraId="130F8F7A" w14:textId="57CC5E77" w:rsidR="009D359E" w:rsidRDefault="0017594B" w:rsidP="00953498">
      <w:r w:rsidRPr="00267441">
        <w:t xml:space="preserve">Matrisen viser beløp for ulike engasjementstyper fordelt på løpetid. </w:t>
      </w:r>
    </w:p>
    <w:p w14:paraId="5650D571" w14:textId="0C3BA6E0" w:rsidR="00A25025" w:rsidRDefault="00A25025" w:rsidP="00953498">
      <w:r w:rsidRPr="00A25025">
        <w:drawing>
          <wp:inline distT="0" distB="0" distL="0" distR="0" wp14:anchorId="3F3A7722" wp14:editId="79C6646E">
            <wp:extent cx="6120130" cy="677545"/>
            <wp:effectExtent l="0" t="0" r="0" b="8255"/>
            <wp:docPr id="68" name="Bil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677545"/>
                    </a:xfrm>
                    <a:prstGeom prst="rect">
                      <a:avLst/>
                    </a:prstGeom>
                    <a:noFill/>
                    <a:ln>
                      <a:noFill/>
                    </a:ln>
                  </pic:spPr>
                </pic:pic>
              </a:graphicData>
            </a:graphic>
          </wp:inline>
        </w:drawing>
      </w:r>
    </w:p>
    <w:p w14:paraId="130F8F7C" w14:textId="4B07DA81" w:rsidR="00BE7F9A" w:rsidRDefault="00BE7F9A" w:rsidP="00953498"/>
    <w:p w14:paraId="130F8F7D" w14:textId="7F62D45A" w:rsidR="0017594B" w:rsidRDefault="0017594B" w:rsidP="00953498"/>
    <w:p w14:paraId="130F8F7E" w14:textId="77777777" w:rsidR="0017594B" w:rsidRPr="00267441" w:rsidRDefault="0017594B" w:rsidP="001126C0">
      <w:pPr>
        <w:pStyle w:val="Overskrift3"/>
        <w:numPr>
          <w:ilvl w:val="1"/>
          <w:numId w:val="6"/>
        </w:numPr>
      </w:pPr>
      <w:bookmarkStart w:id="27" w:name="_Toc219019215"/>
      <w:bookmarkStart w:id="28" w:name="_Toc383089232"/>
      <w:bookmarkStart w:id="29" w:name="_Toc62640331"/>
      <w:r w:rsidRPr="00267441">
        <w:lastRenderedPageBreak/>
        <w:t>Mislighold, nedskrivninger og avsetninger på garantier</w:t>
      </w:r>
      <w:bookmarkEnd w:id="27"/>
      <w:bookmarkEnd w:id="28"/>
      <w:bookmarkEnd w:id="29"/>
    </w:p>
    <w:p w14:paraId="130F8F7F" w14:textId="62F72723" w:rsidR="00BE7F9A" w:rsidRPr="00B81B03" w:rsidRDefault="00BE7F9A" w:rsidP="00BE7F9A">
      <w:pPr>
        <w:rPr>
          <w:rFonts w:ascii="Lucida Sans" w:hAnsi="Lucida Sans"/>
          <w:b/>
          <w:bCs/>
        </w:rPr>
      </w:pPr>
      <w:r w:rsidRPr="00BE7F9A">
        <w:rPr>
          <w:rFonts w:ascii="Lucida Sans" w:hAnsi="Lucida Sans"/>
        </w:rPr>
        <w:t xml:space="preserve">Matrisen viser misligholdte utlån og </w:t>
      </w:r>
      <w:r w:rsidR="00B81B03">
        <w:rPr>
          <w:rFonts w:ascii="Lucida Sans" w:hAnsi="Lucida Sans"/>
        </w:rPr>
        <w:t>steg 3</w:t>
      </w:r>
      <w:r w:rsidRPr="00BE7F9A">
        <w:rPr>
          <w:rFonts w:ascii="Lucida Sans" w:hAnsi="Lucida Sans"/>
        </w:rPr>
        <w:t xml:space="preserve"> nedskrivninger på utlån samt avsetninger på garantier fordelt på typer av motparter og geografiske områder. </w:t>
      </w:r>
    </w:p>
    <w:p w14:paraId="130F8F82" w14:textId="307C8D56" w:rsidR="003C7B16" w:rsidRDefault="00FC26B6" w:rsidP="00953498">
      <w:r w:rsidRPr="00FC26B6">
        <w:drawing>
          <wp:inline distT="0" distB="0" distL="0" distR="0" wp14:anchorId="58F793AB" wp14:editId="7F880592">
            <wp:extent cx="6120130" cy="2670810"/>
            <wp:effectExtent l="0" t="0" r="0" b="0"/>
            <wp:docPr id="69" name="Bil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2670810"/>
                    </a:xfrm>
                    <a:prstGeom prst="rect">
                      <a:avLst/>
                    </a:prstGeom>
                    <a:noFill/>
                    <a:ln>
                      <a:noFill/>
                    </a:ln>
                  </pic:spPr>
                </pic:pic>
              </a:graphicData>
            </a:graphic>
          </wp:inline>
        </w:drawing>
      </w:r>
    </w:p>
    <w:p w14:paraId="130F8F83" w14:textId="1C4FE3E4" w:rsidR="00BE7F9A" w:rsidRDefault="00BE7F9A" w:rsidP="00953498"/>
    <w:p w14:paraId="130F8F8A" w14:textId="77777777" w:rsidR="003C7B16" w:rsidRDefault="003C7B16" w:rsidP="001126C0">
      <w:pPr>
        <w:pStyle w:val="Overskrift3"/>
        <w:numPr>
          <w:ilvl w:val="1"/>
          <w:numId w:val="6"/>
        </w:numPr>
      </w:pPr>
      <w:bookmarkStart w:id="30" w:name="_Toc219019216"/>
      <w:bookmarkStart w:id="31" w:name="_Toc383089233"/>
      <w:bookmarkStart w:id="32" w:name="_Toc62640332"/>
      <w:r w:rsidRPr="00267441">
        <w:t>Endringer i nedskrivninger og avsetninger på garantier</w:t>
      </w:r>
      <w:bookmarkEnd w:id="30"/>
      <w:bookmarkEnd w:id="31"/>
      <w:bookmarkEnd w:id="32"/>
    </w:p>
    <w:p w14:paraId="6B855333" w14:textId="5B10D238" w:rsidR="00FC26B6" w:rsidRDefault="00FC26B6" w:rsidP="00BE7F9A">
      <w:r w:rsidRPr="00FC26B6">
        <w:drawing>
          <wp:inline distT="0" distB="0" distL="0" distR="0" wp14:anchorId="58CC3502" wp14:editId="3BDE5287">
            <wp:extent cx="6120130" cy="1792605"/>
            <wp:effectExtent l="0" t="0" r="0" b="0"/>
            <wp:docPr id="70" name="Bil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1792605"/>
                    </a:xfrm>
                    <a:prstGeom prst="rect">
                      <a:avLst/>
                    </a:prstGeom>
                    <a:noFill/>
                    <a:ln>
                      <a:noFill/>
                    </a:ln>
                  </pic:spPr>
                </pic:pic>
              </a:graphicData>
            </a:graphic>
          </wp:inline>
        </w:drawing>
      </w:r>
    </w:p>
    <w:p w14:paraId="2F5D8BA1" w14:textId="72DA0C1A" w:rsidR="00FC26B6" w:rsidRDefault="00FC26B6" w:rsidP="00BE7F9A">
      <w:r w:rsidRPr="00FC26B6">
        <w:drawing>
          <wp:inline distT="0" distB="0" distL="0" distR="0" wp14:anchorId="6C98C8A6" wp14:editId="796D581B">
            <wp:extent cx="6120130" cy="1559560"/>
            <wp:effectExtent l="0" t="0" r="0" b="2540"/>
            <wp:docPr id="71" name="Bil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1559560"/>
                    </a:xfrm>
                    <a:prstGeom prst="rect">
                      <a:avLst/>
                    </a:prstGeom>
                    <a:noFill/>
                    <a:ln>
                      <a:noFill/>
                    </a:ln>
                  </pic:spPr>
                </pic:pic>
              </a:graphicData>
            </a:graphic>
          </wp:inline>
        </w:drawing>
      </w:r>
    </w:p>
    <w:p w14:paraId="320F2ADF" w14:textId="749F6B43" w:rsidR="00FC26B6" w:rsidRDefault="00FC26B6" w:rsidP="00BE7F9A">
      <w:r w:rsidRPr="00FC26B6">
        <w:lastRenderedPageBreak/>
        <w:drawing>
          <wp:inline distT="0" distB="0" distL="0" distR="0" wp14:anchorId="345724A2" wp14:editId="7C3ABE31">
            <wp:extent cx="6120130" cy="1559560"/>
            <wp:effectExtent l="0" t="0" r="0" b="2540"/>
            <wp:docPr id="72" name="Bil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1559560"/>
                    </a:xfrm>
                    <a:prstGeom prst="rect">
                      <a:avLst/>
                    </a:prstGeom>
                    <a:noFill/>
                    <a:ln>
                      <a:noFill/>
                    </a:ln>
                  </pic:spPr>
                </pic:pic>
              </a:graphicData>
            </a:graphic>
          </wp:inline>
        </w:drawing>
      </w:r>
    </w:p>
    <w:p w14:paraId="22E2E726" w14:textId="1DE4D59B" w:rsidR="00FC26B6" w:rsidRPr="00BE7F9A" w:rsidRDefault="00FC26B6" w:rsidP="00BE7F9A">
      <w:r w:rsidRPr="00FC26B6">
        <w:drawing>
          <wp:inline distT="0" distB="0" distL="0" distR="0" wp14:anchorId="6FBD04A4" wp14:editId="0D5F8464">
            <wp:extent cx="6120130" cy="1440815"/>
            <wp:effectExtent l="0" t="0" r="0" b="6985"/>
            <wp:docPr id="73" name="Bil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1440815"/>
                    </a:xfrm>
                    <a:prstGeom prst="rect">
                      <a:avLst/>
                    </a:prstGeom>
                    <a:noFill/>
                    <a:ln>
                      <a:noFill/>
                    </a:ln>
                  </pic:spPr>
                </pic:pic>
              </a:graphicData>
            </a:graphic>
          </wp:inline>
        </w:drawing>
      </w:r>
    </w:p>
    <w:p w14:paraId="130F8F8C" w14:textId="5C4EDE27" w:rsidR="00A00600" w:rsidRDefault="00FC26B6" w:rsidP="003C7B16">
      <w:r w:rsidRPr="00FC26B6">
        <w:drawing>
          <wp:inline distT="0" distB="0" distL="0" distR="0" wp14:anchorId="2F72598E" wp14:editId="1F6B1C98">
            <wp:extent cx="6120130" cy="1559560"/>
            <wp:effectExtent l="0" t="0" r="0" b="2540"/>
            <wp:docPr id="74" name="Bil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1559560"/>
                    </a:xfrm>
                    <a:prstGeom prst="rect">
                      <a:avLst/>
                    </a:prstGeom>
                    <a:noFill/>
                    <a:ln>
                      <a:noFill/>
                    </a:ln>
                  </pic:spPr>
                </pic:pic>
              </a:graphicData>
            </a:graphic>
          </wp:inline>
        </w:drawing>
      </w:r>
    </w:p>
    <w:p w14:paraId="130F8F8D" w14:textId="51500135" w:rsidR="00DC5083" w:rsidRDefault="00DC5083" w:rsidP="001126C0">
      <w:pPr>
        <w:pStyle w:val="Overskrift3"/>
        <w:numPr>
          <w:ilvl w:val="1"/>
          <w:numId w:val="6"/>
        </w:numPr>
      </w:pPr>
      <w:bookmarkStart w:id="33" w:name="_Toc219019217"/>
      <w:bookmarkStart w:id="34" w:name="_Toc383089234"/>
      <w:bookmarkStart w:id="35" w:name="_Toc62640333"/>
      <w:r w:rsidRPr="00267441">
        <w:t xml:space="preserve">Bruk av offisiell </w:t>
      </w:r>
      <w:proofErr w:type="spellStart"/>
      <w:r w:rsidRPr="00267441">
        <w:t>rating</w:t>
      </w:r>
      <w:proofErr w:type="spellEnd"/>
      <w:r w:rsidRPr="00267441">
        <w:t xml:space="preserve"> for kapitaldekningsformål</w:t>
      </w:r>
      <w:bookmarkEnd w:id="33"/>
      <w:bookmarkEnd w:id="34"/>
      <w:bookmarkEnd w:id="35"/>
    </w:p>
    <w:p w14:paraId="130F8F8F" w14:textId="234CA579" w:rsidR="00BE7F9A" w:rsidRPr="00BE7F9A" w:rsidRDefault="00BE7F9A" w:rsidP="00BE7F9A">
      <w:pPr>
        <w:rPr>
          <w:rFonts w:ascii="Lucida Sans" w:hAnsi="Lucida Sans"/>
        </w:rPr>
      </w:pPr>
      <w:bookmarkStart w:id="36" w:name="_Toc219019218"/>
      <w:bookmarkStart w:id="37" w:name="_Toc383089235"/>
      <w:r w:rsidRPr="00BE7F9A">
        <w:rPr>
          <w:rFonts w:ascii="Lucida Sans" w:hAnsi="Lucida Sans"/>
        </w:rPr>
        <w:t xml:space="preserve">Banken har pr. rapporteringstidspunktet ingen engasjementer hvor </w:t>
      </w:r>
      <w:proofErr w:type="spellStart"/>
      <w:r w:rsidRPr="00BE7F9A">
        <w:rPr>
          <w:rFonts w:ascii="Lucida Sans" w:hAnsi="Lucida Sans"/>
        </w:rPr>
        <w:t>ratingen</w:t>
      </w:r>
      <w:proofErr w:type="spellEnd"/>
      <w:r w:rsidRPr="00BE7F9A">
        <w:rPr>
          <w:rFonts w:ascii="Lucida Sans" w:hAnsi="Lucida Sans"/>
        </w:rPr>
        <w:t xml:space="preserve"> påvirker kapitaldekningen. </w:t>
      </w:r>
    </w:p>
    <w:p w14:paraId="130F8F91" w14:textId="77777777" w:rsidR="00DC5083" w:rsidRDefault="00DC5083" w:rsidP="001126C0">
      <w:pPr>
        <w:pStyle w:val="Overskrift3"/>
        <w:numPr>
          <w:ilvl w:val="1"/>
          <w:numId w:val="6"/>
        </w:numPr>
        <w:ind w:left="567" w:hanging="567"/>
      </w:pPr>
      <w:bookmarkStart w:id="38" w:name="_Toc62640334"/>
      <w:r w:rsidRPr="00267441">
        <w:t>Engasjementsbeløp og bruk av sikke</w:t>
      </w:r>
      <w:r>
        <w:t xml:space="preserve">rheter </w:t>
      </w:r>
      <w:proofErr w:type="spellStart"/>
      <w:r>
        <w:t>m.v</w:t>
      </w:r>
      <w:proofErr w:type="spellEnd"/>
      <w:r>
        <w:t xml:space="preserve">. ved fastsettelse av </w:t>
      </w:r>
      <w:r w:rsidRPr="00267441">
        <w:t>kapitalkrav</w:t>
      </w:r>
      <w:bookmarkEnd w:id="36"/>
      <w:bookmarkEnd w:id="37"/>
      <w:bookmarkEnd w:id="38"/>
    </w:p>
    <w:p w14:paraId="130F8F92" w14:textId="41BAC705" w:rsidR="00BE7F9A" w:rsidRDefault="00BE7F9A" w:rsidP="00BE7F9A">
      <w:pPr>
        <w:rPr>
          <w:rFonts w:ascii="Lucida Sans" w:hAnsi="Lucida Sans"/>
        </w:rPr>
      </w:pPr>
      <w:r w:rsidRPr="00BE7F9A">
        <w:rPr>
          <w:rFonts w:ascii="Lucida Sans" w:hAnsi="Lucida Sans"/>
        </w:rPr>
        <w:t xml:space="preserve">Matrisen viser samlet engasjementsbeløp før og etter at det er tatt hensyn til sikkerheter samt engasjementsbeløp som er fratrukket den ansvarlige kapitalen. </w:t>
      </w:r>
    </w:p>
    <w:p w14:paraId="3571E7E1" w14:textId="7220D41F" w:rsidR="00D86A88" w:rsidRPr="00BE7F9A" w:rsidRDefault="00D86A88" w:rsidP="00BE7F9A">
      <w:pPr>
        <w:rPr>
          <w:rFonts w:ascii="Lucida Sans" w:hAnsi="Lucida Sans"/>
        </w:rPr>
      </w:pPr>
      <w:r w:rsidRPr="00D86A88">
        <w:lastRenderedPageBreak/>
        <w:drawing>
          <wp:inline distT="0" distB="0" distL="0" distR="0" wp14:anchorId="14A64047" wp14:editId="462604D7">
            <wp:extent cx="6120130" cy="1898015"/>
            <wp:effectExtent l="0" t="0" r="0" b="6985"/>
            <wp:docPr id="75" name="Bil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1898015"/>
                    </a:xfrm>
                    <a:prstGeom prst="rect">
                      <a:avLst/>
                    </a:prstGeom>
                    <a:noFill/>
                    <a:ln>
                      <a:noFill/>
                    </a:ln>
                  </pic:spPr>
                </pic:pic>
              </a:graphicData>
            </a:graphic>
          </wp:inline>
        </w:drawing>
      </w:r>
    </w:p>
    <w:p w14:paraId="130F8F99" w14:textId="77777777" w:rsidR="00BE7F9A" w:rsidRPr="00516A1B" w:rsidRDefault="00BE7F9A" w:rsidP="00BE7F9A">
      <w:pPr>
        <w:rPr>
          <w:rFonts w:ascii="Lucida Sans" w:hAnsi="Lucida Sans"/>
        </w:rPr>
      </w:pPr>
      <w:bookmarkStart w:id="39" w:name="_Toc383089236"/>
      <w:r w:rsidRPr="00516A1B">
        <w:rPr>
          <w:rFonts w:ascii="Lucida Sans" w:hAnsi="Lucida Sans"/>
        </w:rPr>
        <w:t>Hovedtyper av pant som benyttes for kapitaldekningsformål er pant i bolig og fritidseiendom. Garantier har i liten grad betydning for kapitaldekningen. I noen tilfeller benyttes garantier fra banker eller regionale myndigheter</w:t>
      </w:r>
      <w:r>
        <w:rPr>
          <w:rFonts w:ascii="Lucida Sans" w:hAnsi="Lucida Sans"/>
        </w:rPr>
        <w:t>. Banken</w:t>
      </w:r>
      <w:r w:rsidRPr="00516A1B">
        <w:rPr>
          <w:rFonts w:ascii="Lucida Sans" w:hAnsi="Lucida Sans"/>
        </w:rPr>
        <w:t xml:space="preserve"> benytter ikke kredittderivater.</w:t>
      </w:r>
    </w:p>
    <w:p w14:paraId="485A2FF9" w14:textId="46EF43F7" w:rsidR="00D86A88" w:rsidRDefault="00BE7F9A" w:rsidP="00D86A88">
      <w:pPr>
        <w:rPr>
          <w:rFonts w:ascii="Lucida Sans" w:hAnsi="Lucida Sans"/>
        </w:rPr>
      </w:pPr>
      <w:r w:rsidRPr="00516A1B">
        <w:rPr>
          <w:rFonts w:ascii="Lucida Sans" w:hAnsi="Lucida Sans"/>
        </w:rPr>
        <w:t>Det tas ikke hensyn til motregningsadgang ved beregning av kapitalkrav. Verdivurdering av sikkerheter tar utgangspunkt i sikkerhetens markedsverdi</w:t>
      </w:r>
      <w:r w:rsidR="00D86A88">
        <w:rPr>
          <w:rFonts w:ascii="Lucida Sans" w:hAnsi="Lucida Sans"/>
        </w:rPr>
        <w:t>.</w:t>
      </w:r>
    </w:p>
    <w:p w14:paraId="130F8F9C" w14:textId="72FD1FC8" w:rsidR="00BE7F9A" w:rsidRPr="00516A1B" w:rsidRDefault="00BE7F9A" w:rsidP="00BE7F9A">
      <w:pPr>
        <w:rPr>
          <w:rFonts w:ascii="Lucida Sans" w:hAnsi="Lucida Sans"/>
        </w:rPr>
      </w:pPr>
      <w:r w:rsidRPr="00516A1B">
        <w:rPr>
          <w:rFonts w:ascii="Lucida Sans" w:hAnsi="Lucida Sans"/>
        </w:rPr>
        <w:t>Verdivurdering av boligeiendommer oppdateres ved vesentlige endringer i markedet</w:t>
      </w:r>
      <w:r>
        <w:rPr>
          <w:rFonts w:ascii="Lucida Sans" w:hAnsi="Lucida Sans"/>
        </w:rPr>
        <w:t>,</w:t>
      </w:r>
      <w:r w:rsidRPr="00516A1B">
        <w:rPr>
          <w:rFonts w:ascii="Lucida Sans" w:hAnsi="Lucida Sans"/>
        </w:rPr>
        <w:t xml:space="preserve"> og minst hvert tredje år. </w:t>
      </w:r>
    </w:p>
    <w:p w14:paraId="130F8F9D" w14:textId="515FBAA4" w:rsidR="00BE7F9A" w:rsidRPr="00516A1B" w:rsidRDefault="00BE7F9A" w:rsidP="00BE7F9A">
      <w:pPr>
        <w:rPr>
          <w:rFonts w:ascii="Lucida Sans" w:hAnsi="Lucida Sans"/>
        </w:rPr>
      </w:pPr>
      <w:r w:rsidRPr="00516A1B">
        <w:rPr>
          <w:rFonts w:ascii="Lucida Sans" w:hAnsi="Lucida Sans"/>
        </w:rPr>
        <w:t>Det tas hensyn til konsentrasjonsrisiko i bankens ICAAP, likevel slik at konsentrasjonsrisiko som følge av konsentrasjon av typer av sikkerheter ikke eksplisitt tilordnes kapitalbehov.</w:t>
      </w:r>
    </w:p>
    <w:p w14:paraId="130F8F9E" w14:textId="0D2C4EBF" w:rsidR="00DC5083" w:rsidRDefault="00180DFD" w:rsidP="00180DFD">
      <w:pPr>
        <w:pStyle w:val="Overskrift3"/>
        <w:numPr>
          <w:ilvl w:val="1"/>
          <w:numId w:val="6"/>
        </w:numPr>
      </w:pPr>
      <w:bookmarkStart w:id="40" w:name="_Toc62640335"/>
      <w:r>
        <w:t>Sikkerhetsstilte eiendeler</w:t>
      </w:r>
      <w:bookmarkEnd w:id="40"/>
    </w:p>
    <w:p w14:paraId="53828273" w14:textId="66B1AB08" w:rsidR="006F14AC" w:rsidRDefault="006F14AC" w:rsidP="00180DFD">
      <w:pPr>
        <w:rPr>
          <w:rFonts w:ascii="Lucida Sans" w:hAnsi="Lucida Sans"/>
        </w:rPr>
      </w:pPr>
      <w:r>
        <w:rPr>
          <w:rFonts w:ascii="Lucida Sans" w:hAnsi="Lucida Sans"/>
        </w:rPr>
        <w:t>Tabellen viser bankens finansielle eiendeler som kan stilles som sikkerhet for lån i sentralbanken. Pr. 31.12.20</w:t>
      </w:r>
      <w:r w:rsidR="006578E5">
        <w:rPr>
          <w:rFonts w:ascii="Lucida Sans" w:hAnsi="Lucida Sans"/>
        </w:rPr>
        <w:t>20</w:t>
      </w:r>
      <w:r>
        <w:rPr>
          <w:rFonts w:ascii="Lucida Sans" w:hAnsi="Lucida Sans"/>
        </w:rPr>
        <w:t xml:space="preserve"> er </w:t>
      </w:r>
      <w:r w:rsidR="006578E5">
        <w:rPr>
          <w:rFonts w:ascii="Lucida Sans" w:hAnsi="Lucida Sans"/>
        </w:rPr>
        <w:t>50MNOK</w:t>
      </w:r>
      <w:r>
        <w:rPr>
          <w:rFonts w:ascii="Lucida Sans" w:hAnsi="Lucida Sans"/>
        </w:rPr>
        <w:t xml:space="preserve"> stillet som </w:t>
      </w:r>
      <w:r w:rsidR="006578E5">
        <w:rPr>
          <w:rFonts w:ascii="Lucida Sans" w:hAnsi="Lucida Sans"/>
        </w:rPr>
        <w:t>sikkerhet for lån i Norges Bank.</w:t>
      </w:r>
    </w:p>
    <w:p w14:paraId="12AF9A2C" w14:textId="05B6D0FD" w:rsidR="006F14AC" w:rsidRDefault="00D86A88" w:rsidP="00180DFD">
      <w:r w:rsidRPr="00D86A88">
        <w:drawing>
          <wp:inline distT="0" distB="0" distL="0" distR="0" wp14:anchorId="65EC848E" wp14:editId="7AB4E97B">
            <wp:extent cx="6120130" cy="1340485"/>
            <wp:effectExtent l="0" t="0" r="0" b="0"/>
            <wp:docPr id="76" name="Bil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1340485"/>
                    </a:xfrm>
                    <a:prstGeom prst="rect">
                      <a:avLst/>
                    </a:prstGeom>
                    <a:noFill/>
                    <a:ln>
                      <a:noFill/>
                    </a:ln>
                  </pic:spPr>
                </pic:pic>
              </a:graphicData>
            </a:graphic>
          </wp:inline>
        </w:drawing>
      </w:r>
    </w:p>
    <w:p w14:paraId="130F8F9F" w14:textId="694B1337" w:rsidR="00DC5083" w:rsidRDefault="00DC5083" w:rsidP="001126C0">
      <w:pPr>
        <w:pStyle w:val="Overskrift3"/>
        <w:numPr>
          <w:ilvl w:val="1"/>
          <w:numId w:val="6"/>
        </w:numPr>
      </w:pPr>
      <w:bookmarkStart w:id="41" w:name="_Toc62640336"/>
      <w:r w:rsidRPr="00267441">
        <w:t>Motpartsrisiko knyttet til derivater</w:t>
      </w:r>
      <w:bookmarkEnd w:id="39"/>
      <w:bookmarkEnd w:id="41"/>
    </w:p>
    <w:p w14:paraId="002D2676" w14:textId="58295882" w:rsidR="006578E5" w:rsidRPr="006578E5" w:rsidRDefault="006578E5" w:rsidP="006578E5">
      <w:r>
        <w:t>Selbu Sparebank har pr. 31.12. ingen avtaler vedr. finansielle derivater.</w:t>
      </w:r>
    </w:p>
    <w:p w14:paraId="130F8FA6" w14:textId="70F7CACB" w:rsidR="00DC5083" w:rsidRPr="003C7B16" w:rsidRDefault="00DC5083" w:rsidP="001126C0">
      <w:pPr>
        <w:pStyle w:val="Overskrift2"/>
        <w:numPr>
          <w:ilvl w:val="0"/>
          <w:numId w:val="6"/>
        </w:numPr>
      </w:pPr>
      <w:bookmarkStart w:id="42" w:name="_Toc62640337"/>
      <w:r w:rsidRPr="00267441">
        <w:lastRenderedPageBreak/>
        <w:t>Egenkapitalposisjoner</w:t>
      </w:r>
      <w:bookmarkEnd w:id="42"/>
    </w:p>
    <w:p w14:paraId="0F1230FA" w14:textId="0DB5DF26" w:rsidR="00D63248" w:rsidRPr="00D63248" w:rsidRDefault="00D63248" w:rsidP="00DD0EEA">
      <w:pPr>
        <w:rPr>
          <w:rFonts w:ascii="Lucida Sans" w:hAnsi="Lucida Sans"/>
          <w:iCs/>
          <w:sz w:val="20"/>
          <w:szCs w:val="20"/>
        </w:rPr>
      </w:pPr>
      <w:r>
        <w:rPr>
          <w:rFonts w:ascii="Lucida Sans" w:hAnsi="Lucida Sans"/>
          <w:iCs/>
          <w:sz w:val="20"/>
          <w:szCs w:val="20"/>
        </w:rPr>
        <w:t>Bankens aksjer bokføres til virkelig verdi over utvidet resultat.</w:t>
      </w:r>
    </w:p>
    <w:p w14:paraId="2A19687E" w14:textId="2C81EA9C" w:rsidR="006578E5" w:rsidRPr="00DD0EEA" w:rsidRDefault="006578E5" w:rsidP="00DD0EEA">
      <w:pPr>
        <w:rPr>
          <w:rFonts w:ascii="Lucida Sans" w:hAnsi="Lucida Sans"/>
          <w:i/>
          <w:sz w:val="20"/>
          <w:szCs w:val="20"/>
        </w:rPr>
      </w:pPr>
      <w:r w:rsidRPr="006578E5">
        <w:drawing>
          <wp:inline distT="0" distB="0" distL="0" distR="0" wp14:anchorId="7B77C66E" wp14:editId="75DD3803">
            <wp:extent cx="6120130" cy="1478280"/>
            <wp:effectExtent l="0" t="0" r="0" b="7620"/>
            <wp:docPr id="77" name="Bil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1478280"/>
                    </a:xfrm>
                    <a:prstGeom prst="rect">
                      <a:avLst/>
                    </a:prstGeom>
                    <a:noFill/>
                    <a:ln>
                      <a:noFill/>
                    </a:ln>
                  </pic:spPr>
                </pic:pic>
              </a:graphicData>
            </a:graphic>
          </wp:inline>
        </w:drawing>
      </w:r>
    </w:p>
    <w:p w14:paraId="130F8FAC" w14:textId="298111E1" w:rsidR="00DD0EEA" w:rsidRDefault="00DD0EEA" w:rsidP="00953498"/>
    <w:p w14:paraId="130F8FAD" w14:textId="245DCBEC" w:rsidR="00C46F6C" w:rsidRDefault="00C46F6C" w:rsidP="001126C0">
      <w:pPr>
        <w:pStyle w:val="Overskrift2"/>
        <w:numPr>
          <w:ilvl w:val="0"/>
          <w:numId w:val="6"/>
        </w:numPr>
      </w:pPr>
      <w:bookmarkStart w:id="43" w:name="_Toc62640338"/>
      <w:r w:rsidRPr="00267441">
        <w:t>Renterisiko</w:t>
      </w:r>
      <w:bookmarkEnd w:id="43"/>
    </w:p>
    <w:p w14:paraId="5687ADE2" w14:textId="77777777" w:rsidR="00D63248" w:rsidRPr="0097358F" w:rsidRDefault="00D63248" w:rsidP="00D63248">
      <w:pPr>
        <w:rPr>
          <w:rFonts w:ascii="Lucida Sans Unicode" w:hAnsi="Lucida Sans Unicode" w:cs="Lucida Sans Unicode"/>
          <w:szCs w:val="18"/>
        </w:rPr>
      </w:pPr>
      <w:r w:rsidRPr="0097358F">
        <w:rPr>
          <w:rFonts w:ascii="Lucida Sans Unicode" w:hAnsi="Lucida Sans Unicode" w:cs="Lucida Sans Unicode"/>
          <w:szCs w:val="18"/>
        </w:rPr>
        <w:t>Selbu Sparebank har identifisert følgende kilder til renterisiko:</w:t>
      </w:r>
    </w:p>
    <w:p w14:paraId="2E26A76C" w14:textId="77777777" w:rsidR="00D63248" w:rsidRPr="0097358F" w:rsidRDefault="00D63248" w:rsidP="00D63248">
      <w:pPr>
        <w:numPr>
          <w:ilvl w:val="0"/>
          <w:numId w:val="23"/>
        </w:numPr>
        <w:spacing w:after="0" w:line="240" w:lineRule="auto"/>
        <w:rPr>
          <w:rFonts w:ascii="Lucida Sans Unicode" w:hAnsi="Lucida Sans Unicode" w:cs="Lucida Sans Unicode"/>
          <w:szCs w:val="18"/>
        </w:rPr>
      </w:pPr>
      <w:r w:rsidRPr="0097358F">
        <w:rPr>
          <w:rFonts w:ascii="Lucida Sans Unicode" w:hAnsi="Lucida Sans Unicode" w:cs="Lucida Sans Unicode"/>
          <w:szCs w:val="18"/>
        </w:rPr>
        <w:t>Utlån til kunder/andre banker</w:t>
      </w:r>
    </w:p>
    <w:p w14:paraId="1BF1986D" w14:textId="77777777" w:rsidR="00D63248" w:rsidRPr="0097358F" w:rsidRDefault="00D63248" w:rsidP="00D63248">
      <w:pPr>
        <w:numPr>
          <w:ilvl w:val="0"/>
          <w:numId w:val="23"/>
        </w:numPr>
        <w:spacing w:after="0" w:line="240" w:lineRule="auto"/>
        <w:rPr>
          <w:rFonts w:ascii="Lucida Sans Unicode" w:hAnsi="Lucida Sans Unicode" w:cs="Lucida Sans Unicode"/>
          <w:szCs w:val="18"/>
        </w:rPr>
      </w:pPr>
      <w:r w:rsidRPr="0097358F">
        <w:rPr>
          <w:rFonts w:ascii="Lucida Sans Unicode" w:hAnsi="Lucida Sans Unicode" w:cs="Lucida Sans Unicode"/>
          <w:szCs w:val="18"/>
        </w:rPr>
        <w:t>Rentebærende plasseringer i verdipapirer</w:t>
      </w:r>
    </w:p>
    <w:p w14:paraId="1E715E4C" w14:textId="77777777" w:rsidR="00D63248" w:rsidRPr="0097358F" w:rsidRDefault="00D63248" w:rsidP="00D63248">
      <w:pPr>
        <w:numPr>
          <w:ilvl w:val="0"/>
          <w:numId w:val="23"/>
        </w:numPr>
        <w:spacing w:after="0" w:line="240" w:lineRule="auto"/>
        <w:rPr>
          <w:rFonts w:ascii="Lucida Sans Unicode" w:hAnsi="Lucida Sans Unicode" w:cs="Lucida Sans Unicode"/>
          <w:szCs w:val="18"/>
        </w:rPr>
      </w:pPr>
      <w:r w:rsidRPr="0097358F">
        <w:rPr>
          <w:rFonts w:ascii="Lucida Sans Unicode" w:hAnsi="Lucida Sans Unicode" w:cs="Lucida Sans Unicode"/>
          <w:szCs w:val="18"/>
        </w:rPr>
        <w:t>Innskudd fra kunder</w:t>
      </w:r>
    </w:p>
    <w:p w14:paraId="7E3B5522" w14:textId="77777777" w:rsidR="00D63248" w:rsidRPr="0097358F" w:rsidRDefault="00D63248" w:rsidP="00D63248">
      <w:pPr>
        <w:numPr>
          <w:ilvl w:val="0"/>
          <w:numId w:val="23"/>
        </w:numPr>
        <w:spacing w:after="0" w:line="240" w:lineRule="auto"/>
        <w:rPr>
          <w:rFonts w:ascii="Lucida Sans Unicode" w:hAnsi="Lucida Sans Unicode" w:cs="Lucida Sans Unicode"/>
          <w:szCs w:val="18"/>
        </w:rPr>
      </w:pPr>
      <w:r w:rsidRPr="0097358F">
        <w:rPr>
          <w:rFonts w:ascii="Lucida Sans Unicode" w:hAnsi="Lucida Sans Unicode" w:cs="Lucida Sans Unicode"/>
          <w:szCs w:val="18"/>
        </w:rPr>
        <w:t>Rentebærende verdipapirgjeld</w:t>
      </w:r>
    </w:p>
    <w:p w14:paraId="453DFD27" w14:textId="77777777" w:rsidR="00D63248" w:rsidRPr="0097358F" w:rsidRDefault="00D63248" w:rsidP="00D63248">
      <w:pPr>
        <w:numPr>
          <w:ilvl w:val="0"/>
          <w:numId w:val="23"/>
        </w:numPr>
        <w:spacing w:after="0" w:line="240" w:lineRule="auto"/>
        <w:rPr>
          <w:rFonts w:ascii="Lucida Sans Unicode" w:hAnsi="Lucida Sans Unicode" w:cs="Lucida Sans Unicode"/>
          <w:szCs w:val="18"/>
        </w:rPr>
      </w:pPr>
      <w:r w:rsidRPr="0097358F">
        <w:rPr>
          <w:rFonts w:ascii="Lucida Sans Unicode" w:hAnsi="Lucida Sans Unicode" w:cs="Lucida Sans Unicode"/>
          <w:szCs w:val="18"/>
        </w:rPr>
        <w:t>Annen rentebærende gjeld</w:t>
      </w:r>
    </w:p>
    <w:p w14:paraId="7625881F" w14:textId="77777777" w:rsidR="00D63248" w:rsidRPr="0097358F" w:rsidRDefault="00D63248" w:rsidP="00D63248">
      <w:pPr>
        <w:rPr>
          <w:rFonts w:ascii="Lucida Sans Unicode" w:hAnsi="Lucida Sans Unicode" w:cs="Lucida Sans Unicode"/>
          <w:szCs w:val="18"/>
        </w:rPr>
      </w:pPr>
    </w:p>
    <w:p w14:paraId="18E40DFE" w14:textId="77777777" w:rsidR="00D63248" w:rsidRPr="0097358F" w:rsidRDefault="00D63248" w:rsidP="00D63248">
      <w:pPr>
        <w:rPr>
          <w:rFonts w:ascii="Lucida Sans Unicode" w:hAnsi="Lucida Sans Unicode" w:cs="Lucida Sans Unicode"/>
          <w:szCs w:val="18"/>
        </w:rPr>
      </w:pPr>
      <w:r w:rsidRPr="0097358F">
        <w:rPr>
          <w:rFonts w:ascii="Lucida Sans Unicode" w:hAnsi="Lucida Sans Unicode" w:cs="Lucida Sans Unicode"/>
          <w:szCs w:val="18"/>
        </w:rPr>
        <w:t xml:space="preserve">Renterisiko på utlån til kunder oppstår i tilknytning til både flytende og fastforrentede utlån. I henhold til finansavtaleloven (gjeldende for privatpersoner) har banken en varslingsfrist på 6 uker før en eventuell renteøkning på utlån kan iverksettes.  </w:t>
      </w:r>
    </w:p>
    <w:p w14:paraId="7FF97F25" w14:textId="76D3861E" w:rsidR="00D63248" w:rsidRPr="0097358F" w:rsidRDefault="00D63248" w:rsidP="00D63248">
      <w:pPr>
        <w:rPr>
          <w:rFonts w:ascii="Lucida Sans Unicode" w:hAnsi="Lucida Sans Unicode" w:cs="Lucida Sans Unicode"/>
          <w:szCs w:val="18"/>
        </w:rPr>
      </w:pPr>
      <w:r w:rsidRPr="0097358F">
        <w:rPr>
          <w:rFonts w:ascii="Lucida Sans Unicode" w:hAnsi="Lucida Sans Unicode" w:cs="Lucida Sans Unicode"/>
          <w:szCs w:val="18"/>
        </w:rPr>
        <w:t xml:space="preserve">Selbu Sparebank har ikke rentebinding på innskudd og utlånsporteføljen av betydning. I bankens markedspolicy, står det at bankens samlede renterisiko kan </w:t>
      </w:r>
      <w:proofErr w:type="spellStart"/>
      <w:r w:rsidRPr="0097358F">
        <w:rPr>
          <w:rFonts w:ascii="Lucida Sans Unicode" w:hAnsi="Lucida Sans Unicode" w:cs="Lucida Sans Unicode"/>
          <w:szCs w:val="18"/>
        </w:rPr>
        <w:t>makismalt</w:t>
      </w:r>
      <w:proofErr w:type="spellEnd"/>
      <w:r w:rsidRPr="0097358F">
        <w:rPr>
          <w:rFonts w:ascii="Lucida Sans Unicode" w:hAnsi="Lucida Sans Unicode" w:cs="Lucida Sans Unicode"/>
          <w:szCs w:val="18"/>
        </w:rPr>
        <w:t xml:space="preserve"> utgjøre 3,5 MNOK.  Dette beregnes som samlet estimert verdiendring for alle rentebærende poster og rentederivater ved ett prosentpoengs endring i alle renter (parallellskift i rentekurven</w:t>
      </w:r>
    </w:p>
    <w:p w14:paraId="63D1A4E2" w14:textId="77777777" w:rsidR="00D63248" w:rsidRDefault="00D63248" w:rsidP="00DD0EEA">
      <w:pPr>
        <w:rPr>
          <w:rFonts w:ascii="Lucida Sans" w:hAnsi="Lucida Sans"/>
          <w:i/>
          <w:sz w:val="20"/>
          <w:szCs w:val="20"/>
        </w:rPr>
      </w:pPr>
    </w:p>
    <w:p w14:paraId="1697FF4E" w14:textId="6B3309FD" w:rsidR="00D63248" w:rsidRPr="00DD0EEA" w:rsidRDefault="00D63248" w:rsidP="00DD0EEA">
      <w:pPr>
        <w:rPr>
          <w:rFonts w:ascii="Lucida Sans" w:hAnsi="Lucida Sans"/>
          <w:i/>
          <w:sz w:val="20"/>
          <w:szCs w:val="20"/>
        </w:rPr>
      </w:pPr>
      <w:r w:rsidRPr="00D63248">
        <w:lastRenderedPageBreak/>
        <w:drawing>
          <wp:inline distT="0" distB="0" distL="0" distR="0" wp14:anchorId="0EFD9396" wp14:editId="64AA29A9">
            <wp:extent cx="6120130" cy="2793365"/>
            <wp:effectExtent l="0" t="0" r="0" b="0"/>
            <wp:docPr id="78" name="Bil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130" cy="2793365"/>
                    </a:xfrm>
                    <a:prstGeom prst="rect">
                      <a:avLst/>
                    </a:prstGeom>
                    <a:noFill/>
                    <a:ln>
                      <a:noFill/>
                    </a:ln>
                  </pic:spPr>
                </pic:pic>
              </a:graphicData>
            </a:graphic>
          </wp:inline>
        </w:drawing>
      </w:r>
    </w:p>
    <w:p w14:paraId="130F8FB2" w14:textId="2BCD1E7E" w:rsidR="00C46F6C" w:rsidRDefault="00C46F6C" w:rsidP="00C46F6C"/>
    <w:p w14:paraId="130F8FB3" w14:textId="20583426" w:rsidR="00835770" w:rsidRDefault="00835770" w:rsidP="00C46F6C"/>
    <w:p w14:paraId="130F8FB4" w14:textId="1C983E46" w:rsidR="00835770" w:rsidRDefault="00835770" w:rsidP="001126C0">
      <w:pPr>
        <w:pStyle w:val="Overskrift2"/>
        <w:numPr>
          <w:ilvl w:val="0"/>
          <w:numId w:val="6"/>
        </w:numPr>
      </w:pPr>
      <w:bookmarkStart w:id="44" w:name="_Toc62640339"/>
      <w:r w:rsidRPr="00267441">
        <w:t>Styring og kontroll av risiko</w:t>
      </w:r>
      <w:bookmarkEnd w:id="44"/>
    </w:p>
    <w:p w14:paraId="14A950A8" w14:textId="77777777" w:rsidR="00D63248" w:rsidRPr="002416F7" w:rsidRDefault="00D63248" w:rsidP="00D63248">
      <w:pPr>
        <w:pStyle w:val="Overskrift3"/>
      </w:pPr>
      <w:bookmarkStart w:id="45" w:name="_Toc2665153"/>
      <w:r w:rsidRPr="002416F7">
        <w:t>7.1</w:t>
      </w:r>
      <w:r w:rsidRPr="002416F7">
        <w:tab/>
        <w:t>Retningslinjer for ICAAP-prosessen</w:t>
      </w:r>
      <w:bookmarkEnd w:id="45"/>
    </w:p>
    <w:p w14:paraId="3E88026A" w14:textId="77777777" w:rsidR="00D63248" w:rsidRPr="000657B5" w:rsidRDefault="00D63248" w:rsidP="00D63248">
      <w:pPr>
        <w:rPr>
          <w:rFonts w:ascii="Lucida Sans Unicode" w:hAnsi="Lucida Sans Unicode" w:cs="Lucida Sans Unicode"/>
          <w:szCs w:val="18"/>
        </w:rPr>
      </w:pPr>
      <w:r w:rsidRPr="000657B5">
        <w:rPr>
          <w:rFonts w:ascii="Lucida Sans Unicode" w:hAnsi="Lucida Sans Unicode" w:cs="Lucida Sans Unicode"/>
          <w:szCs w:val="18"/>
        </w:rPr>
        <w:t>ICAAP (</w:t>
      </w:r>
      <w:proofErr w:type="spellStart"/>
      <w:r w:rsidRPr="000657B5">
        <w:rPr>
          <w:rFonts w:ascii="Lucida Sans Unicode" w:hAnsi="Lucida Sans Unicode" w:cs="Lucida Sans Unicode"/>
          <w:szCs w:val="18"/>
        </w:rPr>
        <w:t>Internal</w:t>
      </w:r>
      <w:proofErr w:type="spellEnd"/>
      <w:r w:rsidRPr="000657B5">
        <w:rPr>
          <w:rFonts w:ascii="Lucida Sans Unicode" w:hAnsi="Lucida Sans Unicode" w:cs="Lucida Sans Unicode"/>
          <w:szCs w:val="18"/>
        </w:rPr>
        <w:t xml:space="preserve"> Capital </w:t>
      </w:r>
      <w:proofErr w:type="spellStart"/>
      <w:r w:rsidRPr="000657B5">
        <w:rPr>
          <w:rFonts w:ascii="Lucida Sans Unicode" w:hAnsi="Lucida Sans Unicode" w:cs="Lucida Sans Unicode"/>
          <w:szCs w:val="18"/>
        </w:rPr>
        <w:t>Adequacy</w:t>
      </w:r>
      <w:proofErr w:type="spellEnd"/>
      <w:r w:rsidRPr="000657B5">
        <w:rPr>
          <w:rFonts w:ascii="Lucida Sans Unicode" w:hAnsi="Lucida Sans Unicode" w:cs="Lucida Sans Unicode"/>
          <w:szCs w:val="18"/>
        </w:rPr>
        <w:t xml:space="preserve"> </w:t>
      </w:r>
      <w:proofErr w:type="spellStart"/>
      <w:r w:rsidRPr="000657B5">
        <w:rPr>
          <w:rFonts w:ascii="Lucida Sans Unicode" w:hAnsi="Lucida Sans Unicode" w:cs="Lucida Sans Unicode"/>
          <w:szCs w:val="18"/>
        </w:rPr>
        <w:t>Assessment</w:t>
      </w:r>
      <w:proofErr w:type="spellEnd"/>
      <w:r w:rsidRPr="000657B5">
        <w:rPr>
          <w:rFonts w:ascii="Lucida Sans Unicode" w:hAnsi="Lucida Sans Unicode" w:cs="Lucida Sans Unicode"/>
          <w:szCs w:val="18"/>
        </w:rPr>
        <w:t xml:space="preserve"> </w:t>
      </w:r>
      <w:proofErr w:type="spellStart"/>
      <w:r w:rsidRPr="000657B5">
        <w:rPr>
          <w:rFonts w:ascii="Lucida Sans Unicode" w:hAnsi="Lucida Sans Unicode" w:cs="Lucida Sans Unicode"/>
          <w:szCs w:val="18"/>
        </w:rPr>
        <w:t>Process</w:t>
      </w:r>
      <w:proofErr w:type="spellEnd"/>
      <w:r w:rsidRPr="000657B5">
        <w:rPr>
          <w:rFonts w:ascii="Lucida Sans Unicode" w:hAnsi="Lucida Sans Unicode" w:cs="Lucida Sans Unicode"/>
          <w:szCs w:val="18"/>
        </w:rPr>
        <w:t xml:space="preserve">) er bankens egen prosess for å vurdere bankens kapitalbehov. Denne kapitalbehovsvurderingen skal være </w:t>
      </w:r>
      <w:proofErr w:type="spellStart"/>
      <w:r w:rsidRPr="000657B5">
        <w:rPr>
          <w:rFonts w:ascii="Lucida Sans Unicode" w:hAnsi="Lucida Sans Unicode" w:cs="Lucida Sans Unicode"/>
          <w:szCs w:val="18"/>
        </w:rPr>
        <w:t>fremoverskuende</w:t>
      </w:r>
      <w:proofErr w:type="spellEnd"/>
      <w:r w:rsidRPr="000657B5">
        <w:rPr>
          <w:rFonts w:ascii="Lucida Sans Unicode" w:hAnsi="Lucida Sans Unicode" w:cs="Lucida Sans Unicode"/>
          <w:szCs w:val="18"/>
        </w:rPr>
        <w:t xml:space="preserve">, og dette innebærer at kapitalbehovet skal vurderes i forhold til bankens nåværende og fremtidig risikoprofil. Det er derfor et overordnet prinsipp at banken i tillegg til å beregne behovet ut fra gjeldende eksponering (eventuelt rammer) også må vurdere kapitalbehovet i lys av planlagt vekst, eventuelle besluttede strategiske endringer </w:t>
      </w:r>
      <w:proofErr w:type="spellStart"/>
      <w:r w:rsidRPr="000657B5">
        <w:rPr>
          <w:rFonts w:ascii="Lucida Sans Unicode" w:hAnsi="Lucida Sans Unicode" w:cs="Lucida Sans Unicode"/>
          <w:szCs w:val="18"/>
        </w:rPr>
        <w:t>m.v</w:t>
      </w:r>
      <w:proofErr w:type="spellEnd"/>
      <w:r w:rsidRPr="000657B5">
        <w:rPr>
          <w:rFonts w:ascii="Lucida Sans Unicode" w:hAnsi="Lucida Sans Unicode" w:cs="Lucida Sans Unicode"/>
          <w:szCs w:val="18"/>
        </w:rPr>
        <w:t xml:space="preserve">. </w:t>
      </w:r>
    </w:p>
    <w:p w14:paraId="02D17DFE" w14:textId="77777777" w:rsidR="00D63248" w:rsidRPr="000657B5" w:rsidRDefault="00D63248" w:rsidP="00D63248">
      <w:pPr>
        <w:rPr>
          <w:rFonts w:ascii="Lucida Sans Unicode" w:hAnsi="Lucida Sans Unicode" w:cs="Lucida Sans Unicode"/>
          <w:szCs w:val="18"/>
        </w:rPr>
      </w:pPr>
      <w:r w:rsidRPr="000657B5">
        <w:rPr>
          <w:rFonts w:ascii="Lucida Sans Unicode" w:hAnsi="Lucida Sans Unicode" w:cs="Lucida Sans Unicode"/>
          <w:szCs w:val="18"/>
        </w:rPr>
        <w:t xml:space="preserve">Fremtidige tap kan deles inn i forventede tap og uventede tap. Forventede tap kan betraktes som en driftskostnad og forutsettes dekket over den løpende driften. Den løpende driften kan også betraktes som et førstelinjeforsvar mot uventede tap. I kapitalbehovsvurderingen legges det imidlertid til grunn at uventede tap ikke dekkes over driften, med skal dekkes av kapital. Kapitalbehovsvurderingen innebærer følgelig at banken beregner hvor mye kapital som trengs for å dekke opp for fremtidige uventede tap. </w:t>
      </w:r>
    </w:p>
    <w:p w14:paraId="39DB38D0" w14:textId="77777777" w:rsidR="00D63248" w:rsidRPr="000657B5" w:rsidRDefault="00D63248" w:rsidP="00D63248">
      <w:pPr>
        <w:rPr>
          <w:rFonts w:ascii="Lucida Sans Unicode" w:hAnsi="Lucida Sans Unicode" w:cs="Lucida Sans Unicode"/>
          <w:szCs w:val="18"/>
        </w:rPr>
      </w:pPr>
      <w:r w:rsidRPr="000657B5">
        <w:rPr>
          <w:rFonts w:ascii="Lucida Sans Unicode" w:hAnsi="Lucida Sans Unicode" w:cs="Lucida Sans Unicode"/>
          <w:szCs w:val="18"/>
        </w:rPr>
        <w:t xml:space="preserve">Disse beregningene gjøres på ulike måter for ulike risikoer, og er basert på ulike forutsetninger. Det er en implisitt forutsetning om at det ikke beregnes kapital som dekker alle tenkelige tapsutfall. Det er imidlertid benyttet konservative forutsetninger i beregningene. </w:t>
      </w:r>
    </w:p>
    <w:p w14:paraId="2A1F5E9B" w14:textId="77777777" w:rsidR="00D63248" w:rsidRPr="000657B5" w:rsidRDefault="00D63248" w:rsidP="00D63248">
      <w:pPr>
        <w:rPr>
          <w:rFonts w:ascii="Lucida Sans Unicode" w:hAnsi="Lucida Sans Unicode" w:cs="Lucida Sans Unicode"/>
          <w:szCs w:val="18"/>
        </w:rPr>
      </w:pPr>
      <w:r w:rsidRPr="000657B5">
        <w:rPr>
          <w:rFonts w:ascii="Lucida Sans Unicode" w:hAnsi="Lucida Sans Unicode" w:cs="Lucida Sans Unicode"/>
          <w:szCs w:val="18"/>
        </w:rPr>
        <w:t xml:space="preserve">Ved beregning av samlet kapitalbehov (for alle risikoene) kan det argumenteres for at de ulike risikoene ikke vil materialisere seg samtidig, og at det derfor eksisterer diversifikasjonseffekter som innebærer at det samlede kapitalbehovet er lavere enn summen av kapitalbehovet for de enkelte risikoene. Banken har imidlertid valgt å legge en konservativ tilnærming til grunn, og ser derfor bort fra slike effekter. </w:t>
      </w:r>
    </w:p>
    <w:p w14:paraId="107D1F07" w14:textId="77777777" w:rsidR="00D63248" w:rsidRPr="000657B5" w:rsidRDefault="00D63248" w:rsidP="00D63248">
      <w:pPr>
        <w:rPr>
          <w:rFonts w:ascii="Lucida Sans Unicode" w:hAnsi="Lucida Sans Unicode" w:cs="Lucida Sans Unicode"/>
          <w:szCs w:val="18"/>
        </w:rPr>
      </w:pPr>
    </w:p>
    <w:p w14:paraId="2B1C044B" w14:textId="77777777" w:rsidR="00D63248" w:rsidRPr="000657B5" w:rsidRDefault="00D63248" w:rsidP="00D63248">
      <w:pPr>
        <w:rPr>
          <w:rFonts w:ascii="Lucida Sans Unicode" w:hAnsi="Lucida Sans Unicode" w:cs="Lucida Sans Unicode"/>
          <w:szCs w:val="18"/>
        </w:rPr>
      </w:pPr>
      <w:r w:rsidRPr="000657B5">
        <w:rPr>
          <w:rFonts w:ascii="Lucida Sans Unicode" w:hAnsi="Lucida Sans Unicode" w:cs="Lucida Sans Unicode"/>
          <w:szCs w:val="18"/>
        </w:rPr>
        <w:t xml:space="preserve">Med risikotoleranse forstås størrelsen på den risikoen banken er villig til å ta i sin virksomhet for å nå sine mål. Risikotoleransen kommer til uttrykk i rammeverket for virksomheten, herunder i begrensninger i vedtekter, policyer, fullmakter, retningslinjer og rutiner. For noen av risikoene er det vanlig å fastsette kvantitative begrensinger på risiko, for eksempel kvantitative rammer for markedsrisiko, rammer for store engasjement, rammer for eksponering mot enkeltbransjer osv. For andre risikotyper er det mer naturlig å benytte kvalitative begrensninger. Slike begrensninger angir hvor langt man er villig til å strekke seg på enkeltrisikoer, og representerer derfor en beskrivelse av risikotoleransen for disse enkeltrisikoene. Bankens risikotoleranse er forsøkt reflektert i kapitalbehovet som beregnes for hver enkelt risiko.  </w:t>
      </w:r>
    </w:p>
    <w:p w14:paraId="6CDD864A" w14:textId="77777777" w:rsidR="00D63248" w:rsidRDefault="00D63248" w:rsidP="00D63248">
      <w:pPr>
        <w:rPr>
          <w:rFonts w:ascii="Lucida Sans Unicode" w:hAnsi="Lucida Sans Unicode" w:cs="Lucida Sans Unicode"/>
          <w:szCs w:val="18"/>
        </w:rPr>
      </w:pPr>
      <w:r w:rsidRPr="000657B5">
        <w:rPr>
          <w:rFonts w:ascii="Lucida Sans Unicode" w:hAnsi="Lucida Sans Unicode" w:cs="Lucida Sans Unicode"/>
          <w:szCs w:val="18"/>
        </w:rPr>
        <w:t>I fastsettingen av bankens kapitalmål inngår bankens internt beregnede kapitalbehov, men banken gjør i tillegg en vurdering av forventninger og krav fra bankens omgivelser. Bankens overordnede risikotoleranse innebærer at kapitalmålet alltid vil være høyere enn bankens internt beregnede kapitalbehov.</w:t>
      </w:r>
    </w:p>
    <w:p w14:paraId="0975A4F2" w14:textId="1A1D5E67" w:rsidR="00D63248" w:rsidRPr="00CD16D2" w:rsidRDefault="00D63248" w:rsidP="00D63248">
      <w:pPr>
        <w:rPr>
          <w:rFonts w:ascii="Lucida Sans Unicode" w:hAnsi="Lucida Sans Unicode" w:cs="Lucida Sans Unicode"/>
        </w:rPr>
      </w:pPr>
      <w:r w:rsidRPr="00CD16D2">
        <w:rPr>
          <w:rFonts w:ascii="Lucida Sans Unicode" w:hAnsi="Lucida Sans Unicode" w:cs="Lucida Sans Unicode"/>
        </w:rPr>
        <w:t xml:space="preserve">Styret </w:t>
      </w:r>
      <w:r>
        <w:rPr>
          <w:rFonts w:ascii="Lucida Sans Unicode" w:hAnsi="Lucida Sans Unicode" w:cs="Lucida Sans Unicode"/>
        </w:rPr>
        <w:t>har</w:t>
      </w:r>
      <w:r w:rsidRPr="00CD16D2">
        <w:rPr>
          <w:rFonts w:ascii="Lucida Sans Unicode" w:hAnsi="Lucida Sans Unicode" w:cs="Lucida Sans Unicode"/>
        </w:rPr>
        <w:t xml:space="preserve"> behandlet ICAAP med endelig vedtak </w:t>
      </w:r>
      <w:r w:rsidR="003D6E12">
        <w:rPr>
          <w:rFonts w:ascii="Lucida Sans Unicode" w:hAnsi="Lucida Sans Unicode" w:cs="Lucida Sans Unicode"/>
        </w:rPr>
        <w:t>våren 2020</w:t>
      </w:r>
      <w:r w:rsidRPr="00CD16D2">
        <w:rPr>
          <w:rFonts w:ascii="Lucida Sans Unicode" w:hAnsi="Lucida Sans Unicode" w:cs="Lucida Sans Unicode"/>
        </w:rPr>
        <w:t>. Bankens administrasjon har forberedt dokumentet, og styret har gjennom diskusjoner i styremøtene konkludert på bankens kapitalbehov med nødvendige tiltak. Risiko- og revisjonsutvalget har forberedt behandlingen i styret.</w:t>
      </w:r>
    </w:p>
    <w:p w14:paraId="0145864D" w14:textId="77777777" w:rsidR="00D63248" w:rsidRPr="00CD16D2" w:rsidRDefault="00D63248" w:rsidP="00D63248">
      <w:pPr>
        <w:rPr>
          <w:rFonts w:ascii="Lucida Sans Unicode" w:hAnsi="Lucida Sans Unicode" w:cs="Lucida Sans Unicode"/>
        </w:rPr>
      </w:pPr>
      <w:r w:rsidRPr="00CD16D2">
        <w:rPr>
          <w:rFonts w:ascii="Lucida Sans Unicode" w:hAnsi="Lucida Sans Unicode" w:cs="Lucida Sans Unicode"/>
        </w:rPr>
        <w:t xml:space="preserve">Banken benytter maler utarbeidet av Eika Gruppen (Eika </w:t>
      </w:r>
      <w:proofErr w:type="spellStart"/>
      <w:r w:rsidRPr="00CD16D2">
        <w:rPr>
          <w:rFonts w:ascii="Lucida Sans Unicode" w:hAnsi="Lucida Sans Unicode" w:cs="Lucida Sans Unicode"/>
        </w:rPr>
        <w:t>ViS</w:t>
      </w:r>
      <w:proofErr w:type="spellEnd"/>
      <w:r w:rsidRPr="00CD16D2">
        <w:rPr>
          <w:rFonts w:ascii="Lucida Sans Unicode" w:hAnsi="Lucida Sans Unicode" w:cs="Lucida Sans Unicode"/>
        </w:rPr>
        <w:t xml:space="preserve">) som utgangspunkt for bankens risikostyring, herunder utarbeidelse av både grunnlaget for kapitalbehovsvurderingen og selve ICAAP-rapporten. </w:t>
      </w:r>
    </w:p>
    <w:p w14:paraId="633DD5CB" w14:textId="77777777" w:rsidR="00D63248" w:rsidRPr="000657B5" w:rsidRDefault="00D63248" w:rsidP="00D63248">
      <w:pPr>
        <w:rPr>
          <w:rFonts w:ascii="Lucida Sans Unicode" w:hAnsi="Lucida Sans Unicode" w:cs="Lucida Sans Unicode"/>
          <w:szCs w:val="18"/>
        </w:rPr>
      </w:pPr>
      <w:r w:rsidRPr="000657B5">
        <w:rPr>
          <w:rFonts w:ascii="Lucida Sans Unicode" w:hAnsi="Lucida Sans Unicode" w:cs="Lucida Sans Unicode"/>
          <w:szCs w:val="18"/>
        </w:rPr>
        <w:t>Bankens interne kapitalbehovsvurdering innebærer en analyse og beregning av kapitalbehov for følgende risikoer:</w:t>
      </w:r>
    </w:p>
    <w:p w14:paraId="563FB1D3" w14:textId="77777777" w:rsidR="00D63248" w:rsidRPr="000657B5" w:rsidRDefault="00D63248" w:rsidP="00D63248">
      <w:pPr>
        <w:numPr>
          <w:ilvl w:val="0"/>
          <w:numId w:val="13"/>
        </w:numPr>
        <w:spacing w:after="0" w:line="240" w:lineRule="auto"/>
        <w:rPr>
          <w:rFonts w:ascii="Lucida Sans Unicode" w:hAnsi="Lucida Sans Unicode" w:cs="Lucida Sans Unicode"/>
          <w:szCs w:val="18"/>
        </w:rPr>
      </w:pPr>
      <w:r w:rsidRPr="000657B5">
        <w:rPr>
          <w:rFonts w:ascii="Lucida Sans Unicode" w:hAnsi="Lucida Sans Unicode" w:cs="Lucida Sans Unicode"/>
          <w:szCs w:val="18"/>
        </w:rPr>
        <w:t>Kredittrisiko</w:t>
      </w:r>
    </w:p>
    <w:p w14:paraId="6495D23A" w14:textId="77777777" w:rsidR="00D63248" w:rsidRPr="000657B5" w:rsidRDefault="00D63248" w:rsidP="00D63248">
      <w:pPr>
        <w:numPr>
          <w:ilvl w:val="0"/>
          <w:numId w:val="13"/>
        </w:numPr>
        <w:spacing w:after="0" w:line="240" w:lineRule="auto"/>
        <w:rPr>
          <w:rFonts w:ascii="Lucida Sans Unicode" w:hAnsi="Lucida Sans Unicode" w:cs="Lucida Sans Unicode"/>
          <w:szCs w:val="18"/>
        </w:rPr>
      </w:pPr>
      <w:r w:rsidRPr="000657B5">
        <w:rPr>
          <w:rFonts w:ascii="Lucida Sans Unicode" w:hAnsi="Lucida Sans Unicode" w:cs="Lucida Sans Unicode"/>
          <w:szCs w:val="18"/>
        </w:rPr>
        <w:t>Likviditets</w:t>
      </w:r>
      <w:r>
        <w:rPr>
          <w:rFonts w:ascii="Lucida Sans Unicode" w:hAnsi="Lucida Sans Unicode" w:cs="Lucida Sans Unicode"/>
          <w:szCs w:val="18"/>
        </w:rPr>
        <w:t>- og finansierings</w:t>
      </w:r>
      <w:r w:rsidRPr="000657B5">
        <w:rPr>
          <w:rFonts w:ascii="Lucida Sans Unicode" w:hAnsi="Lucida Sans Unicode" w:cs="Lucida Sans Unicode"/>
          <w:szCs w:val="18"/>
        </w:rPr>
        <w:t>risiko</w:t>
      </w:r>
    </w:p>
    <w:p w14:paraId="62AEEE75" w14:textId="77777777" w:rsidR="00D63248" w:rsidRDefault="00D63248" w:rsidP="00D63248">
      <w:pPr>
        <w:numPr>
          <w:ilvl w:val="0"/>
          <w:numId w:val="13"/>
        </w:numPr>
        <w:spacing w:after="0" w:line="240" w:lineRule="auto"/>
        <w:rPr>
          <w:rFonts w:ascii="Lucida Sans Unicode" w:hAnsi="Lucida Sans Unicode" w:cs="Lucida Sans Unicode"/>
          <w:szCs w:val="18"/>
        </w:rPr>
      </w:pPr>
      <w:r w:rsidRPr="000657B5">
        <w:rPr>
          <w:rFonts w:ascii="Lucida Sans Unicode" w:hAnsi="Lucida Sans Unicode" w:cs="Lucida Sans Unicode"/>
          <w:szCs w:val="18"/>
        </w:rPr>
        <w:t>Markedsrisiko</w:t>
      </w:r>
    </w:p>
    <w:p w14:paraId="6BFEF437" w14:textId="77777777" w:rsidR="00D63248" w:rsidRPr="000657B5" w:rsidRDefault="00D63248" w:rsidP="00D63248">
      <w:pPr>
        <w:numPr>
          <w:ilvl w:val="0"/>
          <w:numId w:val="13"/>
        </w:numPr>
        <w:spacing w:after="0" w:line="240" w:lineRule="auto"/>
        <w:rPr>
          <w:rFonts w:ascii="Lucida Sans Unicode" w:hAnsi="Lucida Sans Unicode" w:cs="Lucida Sans Unicode"/>
          <w:szCs w:val="18"/>
        </w:rPr>
      </w:pPr>
      <w:r>
        <w:rPr>
          <w:rFonts w:ascii="Lucida Sans Unicode" w:hAnsi="Lucida Sans Unicode" w:cs="Lucida Sans Unicode"/>
          <w:szCs w:val="18"/>
        </w:rPr>
        <w:t>Eiendomsrisiko</w:t>
      </w:r>
    </w:p>
    <w:p w14:paraId="2EEBC988" w14:textId="77777777" w:rsidR="00D63248" w:rsidRPr="000657B5" w:rsidRDefault="00D63248" w:rsidP="00D63248">
      <w:pPr>
        <w:numPr>
          <w:ilvl w:val="0"/>
          <w:numId w:val="13"/>
        </w:numPr>
        <w:spacing w:after="0" w:line="240" w:lineRule="auto"/>
        <w:rPr>
          <w:rFonts w:ascii="Lucida Sans Unicode" w:hAnsi="Lucida Sans Unicode" w:cs="Lucida Sans Unicode"/>
          <w:szCs w:val="18"/>
        </w:rPr>
      </w:pPr>
      <w:r w:rsidRPr="000657B5">
        <w:rPr>
          <w:rFonts w:ascii="Lucida Sans Unicode" w:hAnsi="Lucida Sans Unicode" w:cs="Lucida Sans Unicode"/>
          <w:szCs w:val="18"/>
        </w:rPr>
        <w:t>Operasjonell risiko</w:t>
      </w:r>
      <w:r>
        <w:rPr>
          <w:rFonts w:ascii="Lucida Sans Unicode" w:hAnsi="Lucida Sans Unicode" w:cs="Lucida Sans Unicode"/>
          <w:szCs w:val="18"/>
        </w:rPr>
        <w:t xml:space="preserve"> og IT-risiko</w:t>
      </w:r>
    </w:p>
    <w:p w14:paraId="269F4172" w14:textId="77777777" w:rsidR="00D63248" w:rsidRPr="000657B5" w:rsidRDefault="00D63248" w:rsidP="00D63248">
      <w:pPr>
        <w:numPr>
          <w:ilvl w:val="0"/>
          <w:numId w:val="13"/>
        </w:numPr>
        <w:spacing w:after="0" w:line="240" w:lineRule="auto"/>
        <w:rPr>
          <w:rFonts w:ascii="Lucida Sans Unicode" w:hAnsi="Lucida Sans Unicode" w:cs="Lucida Sans Unicode"/>
          <w:szCs w:val="18"/>
        </w:rPr>
      </w:pPr>
      <w:r w:rsidRPr="000657B5">
        <w:rPr>
          <w:rFonts w:ascii="Lucida Sans Unicode" w:hAnsi="Lucida Sans Unicode" w:cs="Lucida Sans Unicode"/>
          <w:szCs w:val="18"/>
        </w:rPr>
        <w:t>Konsentrasjonsrisiko</w:t>
      </w:r>
    </w:p>
    <w:p w14:paraId="469E807D" w14:textId="77777777" w:rsidR="00D63248" w:rsidRPr="000657B5" w:rsidRDefault="00D63248" w:rsidP="00D63248">
      <w:pPr>
        <w:numPr>
          <w:ilvl w:val="0"/>
          <w:numId w:val="13"/>
        </w:numPr>
        <w:spacing w:after="0" w:line="240" w:lineRule="auto"/>
        <w:rPr>
          <w:rFonts w:ascii="Lucida Sans Unicode" w:hAnsi="Lucida Sans Unicode" w:cs="Lucida Sans Unicode"/>
          <w:szCs w:val="18"/>
        </w:rPr>
      </w:pPr>
      <w:r>
        <w:rPr>
          <w:rFonts w:ascii="Lucida Sans Unicode" w:hAnsi="Lucida Sans Unicode" w:cs="Lucida Sans Unicode"/>
          <w:szCs w:val="18"/>
        </w:rPr>
        <w:t>Andre mulige risikoer</w:t>
      </w:r>
    </w:p>
    <w:p w14:paraId="49B41F97" w14:textId="77777777" w:rsidR="00D63248" w:rsidRPr="000657B5" w:rsidRDefault="00D63248" w:rsidP="00D63248">
      <w:pPr>
        <w:numPr>
          <w:ilvl w:val="0"/>
          <w:numId w:val="13"/>
        </w:numPr>
        <w:spacing w:after="0" w:line="240" w:lineRule="auto"/>
        <w:rPr>
          <w:rFonts w:ascii="Lucida Sans Unicode" w:hAnsi="Lucida Sans Unicode" w:cs="Lucida Sans Unicode"/>
          <w:szCs w:val="18"/>
        </w:rPr>
      </w:pPr>
      <w:r>
        <w:rPr>
          <w:rFonts w:ascii="Lucida Sans Unicode" w:hAnsi="Lucida Sans Unicode" w:cs="Lucida Sans Unicode"/>
          <w:szCs w:val="18"/>
        </w:rPr>
        <w:t>Risiko knyttet til uforsvarlig gjeldsoppbygging (lav uvektet kjernekapitalandel)</w:t>
      </w:r>
    </w:p>
    <w:p w14:paraId="1E2CB814" w14:textId="77777777" w:rsidR="00D63248" w:rsidRPr="000657B5" w:rsidRDefault="00D63248" w:rsidP="00D63248">
      <w:pPr>
        <w:rPr>
          <w:rFonts w:ascii="Lucida Sans Unicode" w:hAnsi="Lucida Sans Unicode" w:cs="Lucida Sans Unicode"/>
          <w:szCs w:val="18"/>
        </w:rPr>
      </w:pPr>
    </w:p>
    <w:p w14:paraId="349E9109" w14:textId="77777777" w:rsidR="00D63248" w:rsidRDefault="00D63248" w:rsidP="00D63248">
      <w:pPr>
        <w:rPr>
          <w:rFonts w:ascii="Lucida Sans Unicode" w:hAnsi="Lucida Sans Unicode" w:cs="Lucida Sans Unicode"/>
          <w:szCs w:val="18"/>
        </w:rPr>
      </w:pPr>
      <w:r w:rsidRPr="000657B5">
        <w:rPr>
          <w:rFonts w:ascii="Lucida Sans Unicode" w:hAnsi="Lucida Sans Unicode" w:cs="Lucida Sans Unicode"/>
          <w:bCs/>
          <w:szCs w:val="18"/>
        </w:rPr>
        <w:t xml:space="preserve">Beregning av kapitalbehov for enkeltrisikoer gjøres ved hjelp av ulike metoder, herunder bruk av stresstester i form av følsomhetsanalyser. I slike følsomhetsanalyser fokuseres det på betydningen av endringer i én enkelt variabel. I tillegg gjennomfører banken stresstesting i form av scenarioanalyse som er </w:t>
      </w:r>
      <w:r w:rsidRPr="000657B5">
        <w:rPr>
          <w:rFonts w:ascii="Lucida Sans Unicode" w:hAnsi="Lucida Sans Unicode" w:cs="Lucida Sans Unicode"/>
          <w:szCs w:val="18"/>
        </w:rPr>
        <w:t>ment å vise betydningen for banken samlet sett av samtidige endringer i flere relevante faktorer. Banken gjennomfører også egne stresstester av likviditetsrisiko.</w:t>
      </w:r>
    </w:p>
    <w:p w14:paraId="422EE1D5" w14:textId="77777777" w:rsidR="00D63248" w:rsidRPr="002416F7" w:rsidRDefault="00D63248" w:rsidP="00D63248">
      <w:pPr>
        <w:rPr>
          <w:rFonts w:ascii="Lucida Sans Unicode" w:hAnsi="Lucida Sans Unicode" w:cs="Lucida Sans Unicode"/>
          <w:szCs w:val="18"/>
        </w:rPr>
      </w:pPr>
      <w:r w:rsidRPr="002416F7">
        <w:rPr>
          <w:rFonts w:ascii="Lucida Sans Unicode" w:hAnsi="Lucida Sans Unicode" w:cs="Lucida Sans Unicode"/>
          <w:szCs w:val="18"/>
        </w:rPr>
        <w:t xml:space="preserve">Bankens kjernevirksomhet er innskudds- og utlånsvirksomhet, samt betalingsformidling. </w:t>
      </w:r>
    </w:p>
    <w:p w14:paraId="1B9A80DF" w14:textId="77777777" w:rsidR="00D63248" w:rsidRPr="002416F7" w:rsidRDefault="00D63248" w:rsidP="00D63248">
      <w:pPr>
        <w:rPr>
          <w:rFonts w:ascii="Lucida Sans Unicode" w:hAnsi="Lucida Sans Unicode" w:cs="Lucida Sans Unicode"/>
          <w:szCs w:val="18"/>
        </w:rPr>
      </w:pPr>
      <w:r w:rsidRPr="002416F7">
        <w:rPr>
          <w:rFonts w:ascii="Lucida Sans Unicode" w:hAnsi="Lucida Sans Unicode" w:cs="Lucida Sans Unicode"/>
          <w:szCs w:val="18"/>
        </w:rPr>
        <w:t>Dette betyr at banken ikke skal ta annen vesentlig risiko enn kreditt- og likviditetsrisiko.</w:t>
      </w:r>
    </w:p>
    <w:p w14:paraId="114EB259" w14:textId="77777777" w:rsidR="00D63248" w:rsidRPr="002416F7" w:rsidRDefault="00D63248" w:rsidP="00D63248">
      <w:pPr>
        <w:rPr>
          <w:rFonts w:ascii="Lucida Sans Unicode" w:hAnsi="Lucida Sans Unicode" w:cs="Lucida Sans Unicode"/>
          <w:szCs w:val="18"/>
        </w:rPr>
      </w:pPr>
      <w:r w:rsidRPr="002416F7">
        <w:rPr>
          <w:rFonts w:ascii="Lucida Sans Unicode" w:hAnsi="Lucida Sans Unicode" w:cs="Lucida Sans Unicode"/>
          <w:szCs w:val="18"/>
        </w:rPr>
        <w:t>Den aksepterte risikoprofilen for banken kommer til uttrykk i risikotoleransen på de ulike risikotypene:</w:t>
      </w:r>
    </w:p>
    <w:tbl>
      <w:tblPr>
        <w:tblpPr w:leftFromText="141" w:rightFromText="141" w:vertAnchor="text" w:horzAnchor="margin" w:tblpX="250"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3969"/>
      </w:tblGrid>
      <w:tr w:rsidR="00D63248" w:rsidRPr="002416F7" w14:paraId="05E6EE89" w14:textId="77777777" w:rsidTr="009515D9">
        <w:tc>
          <w:tcPr>
            <w:tcW w:w="3227" w:type="dxa"/>
            <w:shd w:val="pct30" w:color="auto" w:fill="auto"/>
          </w:tcPr>
          <w:p w14:paraId="131CB0D0" w14:textId="77777777" w:rsidR="00D63248" w:rsidRPr="002416F7" w:rsidRDefault="00D63248" w:rsidP="009515D9">
            <w:pPr>
              <w:rPr>
                <w:rFonts w:ascii="Lucida Sans Unicode" w:hAnsi="Lucida Sans Unicode" w:cs="Lucida Sans Unicode"/>
                <w:b/>
                <w:szCs w:val="18"/>
              </w:rPr>
            </w:pPr>
            <w:r w:rsidRPr="002416F7">
              <w:rPr>
                <w:rFonts w:ascii="Lucida Sans Unicode" w:hAnsi="Lucida Sans Unicode" w:cs="Lucida Sans Unicode"/>
                <w:b/>
                <w:szCs w:val="18"/>
              </w:rPr>
              <w:lastRenderedPageBreak/>
              <w:t>Risikotype</w:t>
            </w:r>
          </w:p>
        </w:tc>
        <w:tc>
          <w:tcPr>
            <w:tcW w:w="1843" w:type="dxa"/>
            <w:shd w:val="pct30" w:color="auto" w:fill="auto"/>
          </w:tcPr>
          <w:p w14:paraId="4EB7E30B" w14:textId="77777777" w:rsidR="00D63248" w:rsidRPr="002416F7" w:rsidRDefault="00D63248" w:rsidP="009515D9">
            <w:pPr>
              <w:rPr>
                <w:rFonts w:ascii="Lucida Sans Unicode" w:hAnsi="Lucida Sans Unicode" w:cs="Lucida Sans Unicode"/>
                <w:b/>
                <w:szCs w:val="18"/>
              </w:rPr>
            </w:pPr>
            <w:r w:rsidRPr="002416F7">
              <w:rPr>
                <w:rFonts w:ascii="Lucida Sans Unicode" w:hAnsi="Lucida Sans Unicode" w:cs="Lucida Sans Unicode"/>
                <w:b/>
                <w:szCs w:val="18"/>
              </w:rPr>
              <w:t>Risikotoleranse</w:t>
            </w:r>
          </w:p>
        </w:tc>
        <w:tc>
          <w:tcPr>
            <w:tcW w:w="3969" w:type="dxa"/>
            <w:shd w:val="pct30" w:color="auto" w:fill="auto"/>
          </w:tcPr>
          <w:p w14:paraId="7F8E01C5" w14:textId="77777777" w:rsidR="00D63248" w:rsidRPr="002416F7" w:rsidRDefault="00D63248" w:rsidP="009515D9">
            <w:pPr>
              <w:rPr>
                <w:rFonts w:ascii="Lucida Sans Unicode" w:hAnsi="Lucida Sans Unicode" w:cs="Lucida Sans Unicode"/>
                <w:b/>
                <w:szCs w:val="18"/>
              </w:rPr>
            </w:pPr>
            <w:r w:rsidRPr="002416F7">
              <w:rPr>
                <w:rFonts w:ascii="Lucida Sans Unicode" w:hAnsi="Lucida Sans Unicode" w:cs="Lucida Sans Unicode"/>
                <w:b/>
                <w:szCs w:val="18"/>
              </w:rPr>
              <w:t>Kommentarer</w:t>
            </w:r>
          </w:p>
        </w:tc>
      </w:tr>
      <w:tr w:rsidR="00D63248" w:rsidRPr="002416F7" w14:paraId="1AD4C977" w14:textId="77777777" w:rsidTr="009515D9">
        <w:tc>
          <w:tcPr>
            <w:tcW w:w="3227" w:type="dxa"/>
            <w:shd w:val="clear" w:color="auto" w:fill="auto"/>
          </w:tcPr>
          <w:p w14:paraId="0759BCF0" w14:textId="77777777" w:rsidR="00D63248" w:rsidRPr="002416F7" w:rsidRDefault="00D63248" w:rsidP="009515D9">
            <w:pPr>
              <w:rPr>
                <w:rFonts w:ascii="Lucida Sans Unicode" w:hAnsi="Lucida Sans Unicode" w:cs="Lucida Sans Unicode"/>
                <w:szCs w:val="18"/>
              </w:rPr>
            </w:pPr>
            <w:r w:rsidRPr="002416F7">
              <w:rPr>
                <w:rFonts w:ascii="Lucida Sans Unicode" w:hAnsi="Lucida Sans Unicode" w:cs="Lucida Sans Unicode"/>
                <w:szCs w:val="18"/>
              </w:rPr>
              <w:t>Kredittrisiko</w:t>
            </w:r>
          </w:p>
        </w:tc>
        <w:tc>
          <w:tcPr>
            <w:tcW w:w="1843" w:type="dxa"/>
            <w:shd w:val="clear" w:color="auto" w:fill="auto"/>
          </w:tcPr>
          <w:p w14:paraId="18B1FB63"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Moderat</w:t>
            </w:r>
          </w:p>
        </w:tc>
        <w:tc>
          <w:tcPr>
            <w:tcW w:w="3969" w:type="dxa"/>
            <w:shd w:val="clear" w:color="auto" w:fill="auto"/>
          </w:tcPr>
          <w:p w14:paraId="7F05C147"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Banken skal ha moderat kredittvekst i egen balanse</w:t>
            </w:r>
          </w:p>
        </w:tc>
      </w:tr>
      <w:tr w:rsidR="00D63248" w:rsidRPr="002416F7" w14:paraId="16114852" w14:textId="77777777" w:rsidTr="009515D9">
        <w:tc>
          <w:tcPr>
            <w:tcW w:w="3227" w:type="dxa"/>
            <w:shd w:val="clear" w:color="auto" w:fill="auto"/>
          </w:tcPr>
          <w:p w14:paraId="704199B1" w14:textId="77777777" w:rsidR="00D63248" w:rsidRPr="002416F7" w:rsidRDefault="00D63248" w:rsidP="009515D9">
            <w:pPr>
              <w:rPr>
                <w:rFonts w:ascii="Lucida Sans Unicode" w:hAnsi="Lucida Sans Unicode" w:cs="Lucida Sans Unicode"/>
                <w:szCs w:val="18"/>
              </w:rPr>
            </w:pPr>
            <w:r w:rsidRPr="002416F7">
              <w:rPr>
                <w:rFonts w:ascii="Lucida Sans Unicode" w:hAnsi="Lucida Sans Unicode" w:cs="Lucida Sans Unicode"/>
                <w:szCs w:val="18"/>
              </w:rPr>
              <w:t>Likviditetsrisiko</w:t>
            </w:r>
          </w:p>
        </w:tc>
        <w:tc>
          <w:tcPr>
            <w:tcW w:w="1843" w:type="dxa"/>
            <w:shd w:val="clear" w:color="auto" w:fill="auto"/>
          </w:tcPr>
          <w:p w14:paraId="1FB215BC"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Lav</w:t>
            </w:r>
          </w:p>
        </w:tc>
        <w:tc>
          <w:tcPr>
            <w:tcW w:w="3969" w:type="dxa"/>
            <w:shd w:val="clear" w:color="auto" w:fill="auto"/>
          </w:tcPr>
          <w:p w14:paraId="0DF89FA5"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Banken skal være forsvarlig og langsiktig finansiert</w:t>
            </w:r>
          </w:p>
        </w:tc>
      </w:tr>
      <w:tr w:rsidR="00D63248" w:rsidRPr="002416F7" w14:paraId="1C2441D7" w14:textId="77777777" w:rsidTr="009515D9">
        <w:tc>
          <w:tcPr>
            <w:tcW w:w="3227" w:type="dxa"/>
            <w:shd w:val="clear" w:color="auto" w:fill="auto"/>
          </w:tcPr>
          <w:p w14:paraId="3010414A" w14:textId="77777777" w:rsidR="00D63248" w:rsidRPr="002416F7" w:rsidRDefault="00D63248" w:rsidP="009515D9">
            <w:pPr>
              <w:rPr>
                <w:rFonts w:ascii="Lucida Sans Unicode" w:hAnsi="Lucida Sans Unicode" w:cs="Lucida Sans Unicode"/>
                <w:szCs w:val="18"/>
              </w:rPr>
            </w:pPr>
            <w:r w:rsidRPr="002416F7">
              <w:rPr>
                <w:rFonts w:ascii="Lucida Sans Unicode" w:hAnsi="Lucida Sans Unicode" w:cs="Lucida Sans Unicode"/>
                <w:szCs w:val="18"/>
              </w:rPr>
              <w:t>Markedsrisiko</w:t>
            </w:r>
          </w:p>
        </w:tc>
        <w:tc>
          <w:tcPr>
            <w:tcW w:w="1843" w:type="dxa"/>
            <w:shd w:val="clear" w:color="auto" w:fill="auto"/>
          </w:tcPr>
          <w:p w14:paraId="7AA58301"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Lav</w:t>
            </w:r>
          </w:p>
        </w:tc>
        <w:tc>
          <w:tcPr>
            <w:tcW w:w="3969" w:type="dxa"/>
            <w:shd w:val="clear" w:color="auto" w:fill="auto"/>
          </w:tcPr>
          <w:p w14:paraId="3A9FB660"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 xml:space="preserve">Banken skal ikke aktivt ta posisjoner og kun ha markedsrisiko som følge av bankens inn- og utlånsaktivitet og bankens behov for likviditetsforvaltning i rentebærende papirer. </w:t>
            </w:r>
          </w:p>
        </w:tc>
      </w:tr>
      <w:tr w:rsidR="00D63248" w:rsidRPr="002416F7" w14:paraId="7C4AB097" w14:textId="77777777" w:rsidTr="009515D9">
        <w:tc>
          <w:tcPr>
            <w:tcW w:w="3227" w:type="dxa"/>
            <w:shd w:val="clear" w:color="auto" w:fill="auto"/>
          </w:tcPr>
          <w:p w14:paraId="35FE9B17" w14:textId="77777777" w:rsidR="00D63248" w:rsidRPr="002416F7" w:rsidRDefault="00D63248" w:rsidP="009515D9">
            <w:pPr>
              <w:rPr>
                <w:rFonts w:ascii="Lucida Sans Unicode" w:hAnsi="Lucida Sans Unicode" w:cs="Lucida Sans Unicode"/>
                <w:szCs w:val="18"/>
              </w:rPr>
            </w:pPr>
            <w:r w:rsidRPr="002416F7">
              <w:rPr>
                <w:rFonts w:ascii="Lucida Sans Unicode" w:hAnsi="Lucida Sans Unicode" w:cs="Lucida Sans Unicode"/>
                <w:szCs w:val="18"/>
              </w:rPr>
              <w:t>Operasjonell risiko</w:t>
            </w:r>
          </w:p>
        </w:tc>
        <w:tc>
          <w:tcPr>
            <w:tcW w:w="1843" w:type="dxa"/>
            <w:shd w:val="clear" w:color="auto" w:fill="auto"/>
          </w:tcPr>
          <w:p w14:paraId="03908DDC"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Lav</w:t>
            </w:r>
          </w:p>
        </w:tc>
        <w:tc>
          <w:tcPr>
            <w:tcW w:w="3969" w:type="dxa"/>
            <w:shd w:val="clear" w:color="auto" w:fill="auto"/>
          </w:tcPr>
          <w:p w14:paraId="5B9EF5DB"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Banken skal innrette virksomheten slik at den i størst mulig grad unngår store tap knyttet til operasjonelle hendelser.</w:t>
            </w:r>
          </w:p>
        </w:tc>
      </w:tr>
      <w:tr w:rsidR="00D63248" w:rsidRPr="002416F7" w14:paraId="4424086B" w14:textId="77777777" w:rsidTr="009515D9">
        <w:tc>
          <w:tcPr>
            <w:tcW w:w="3227" w:type="dxa"/>
            <w:shd w:val="clear" w:color="auto" w:fill="auto"/>
          </w:tcPr>
          <w:p w14:paraId="58658F7C"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szCs w:val="18"/>
              </w:rPr>
              <w:t>Øvrige risikoforhold</w:t>
            </w:r>
          </w:p>
        </w:tc>
        <w:tc>
          <w:tcPr>
            <w:tcW w:w="1843" w:type="dxa"/>
            <w:shd w:val="clear" w:color="auto" w:fill="auto"/>
          </w:tcPr>
          <w:p w14:paraId="4B3E60FD" w14:textId="77777777" w:rsidR="00D63248" w:rsidRPr="002416F7" w:rsidRDefault="00D63248" w:rsidP="009515D9">
            <w:pPr>
              <w:rPr>
                <w:rFonts w:ascii="Lucida Sans Unicode" w:hAnsi="Lucida Sans Unicode" w:cs="Lucida Sans Unicode"/>
                <w:i/>
                <w:szCs w:val="18"/>
              </w:rPr>
            </w:pPr>
            <w:r w:rsidRPr="002416F7">
              <w:rPr>
                <w:rFonts w:ascii="Lucida Sans Unicode" w:hAnsi="Lucida Sans Unicode" w:cs="Lucida Sans Unicode"/>
                <w:i/>
                <w:szCs w:val="18"/>
              </w:rPr>
              <w:t>Lav</w:t>
            </w:r>
          </w:p>
        </w:tc>
        <w:tc>
          <w:tcPr>
            <w:tcW w:w="3969" w:type="dxa"/>
            <w:shd w:val="clear" w:color="auto" w:fill="auto"/>
          </w:tcPr>
          <w:p w14:paraId="331B94B1" w14:textId="77777777" w:rsidR="00D63248" w:rsidRPr="002416F7" w:rsidRDefault="00D63248" w:rsidP="009515D9">
            <w:pPr>
              <w:rPr>
                <w:rFonts w:ascii="Lucida Sans Unicode" w:hAnsi="Lucida Sans Unicode" w:cs="Lucida Sans Unicode"/>
                <w:i/>
                <w:szCs w:val="18"/>
              </w:rPr>
            </w:pPr>
          </w:p>
        </w:tc>
      </w:tr>
    </w:tbl>
    <w:p w14:paraId="3563BA9A" w14:textId="77777777" w:rsidR="00D63248" w:rsidRPr="002416F7" w:rsidRDefault="00D63248" w:rsidP="00D63248">
      <w:pPr>
        <w:jc w:val="both"/>
        <w:rPr>
          <w:rFonts w:ascii="Lucida Sans Unicode" w:hAnsi="Lucida Sans Unicode" w:cs="Lucida Sans Unicode"/>
          <w:szCs w:val="18"/>
        </w:rPr>
      </w:pPr>
    </w:p>
    <w:p w14:paraId="4DFA7598" w14:textId="77777777" w:rsidR="00D63248" w:rsidRPr="002416F7" w:rsidRDefault="00D63248" w:rsidP="00D63248">
      <w:pPr>
        <w:pStyle w:val="Overskrift3"/>
      </w:pPr>
      <w:bookmarkStart w:id="46" w:name="_Toc2665154"/>
      <w:r w:rsidRPr="002416F7">
        <w:t>7.2</w:t>
      </w:r>
      <w:r w:rsidRPr="002416F7">
        <w:tab/>
        <w:t>Bruk av ICAAP i banken.</w:t>
      </w:r>
      <w:bookmarkEnd w:id="46"/>
    </w:p>
    <w:p w14:paraId="1C7E2548" w14:textId="77777777" w:rsidR="00D63248" w:rsidRPr="006911ED" w:rsidRDefault="00D63248" w:rsidP="00D63248">
      <w:pPr>
        <w:rPr>
          <w:rFonts w:ascii="Lucida Sans" w:hAnsi="Lucida Sans" w:cs="Lucida Sans"/>
          <w:szCs w:val="18"/>
        </w:rPr>
      </w:pPr>
      <w:r w:rsidRPr="006911ED">
        <w:rPr>
          <w:rFonts w:ascii="Lucida Sans" w:hAnsi="Lucida Sans" w:cs="Lucida Sans"/>
          <w:szCs w:val="18"/>
        </w:rPr>
        <w:t>Banken gjør en fullstendig kapitalbehovsvurdering minimum en gang pr år.  Denne prosessen ses i sammenheng med og påvirker bankens utarbeidelse av strategiske planer og budsjettprosessen.</w:t>
      </w:r>
    </w:p>
    <w:p w14:paraId="2E690590" w14:textId="77777777" w:rsidR="00D63248" w:rsidRPr="006911ED" w:rsidRDefault="00D63248" w:rsidP="00D63248">
      <w:pPr>
        <w:rPr>
          <w:rFonts w:ascii="Lucida Sans" w:hAnsi="Lucida Sans" w:cs="Lucida Sans"/>
          <w:szCs w:val="18"/>
        </w:rPr>
      </w:pPr>
      <w:r w:rsidRPr="006911ED">
        <w:rPr>
          <w:rFonts w:ascii="Lucida Sans" w:hAnsi="Lucida Sans" w:cs="Lucida Sans"/>
          <w:szCs w:val="18"/>
        </w:rPr>
        <w:t>Bankens strategi og tilhørende mål og rammer gitt fra styret til banksjef i policydokumenter/retningslinjer for risikoområdene har betydning for kapitalbehovsvurderingene i dette dokumentet, samtidig som kapitalbehovsvurderingene legger føringer for strategier og risikopolicyer.</w:t>
      </w:r>
    </w:p>
    <w:p w14:paraId="0E0726F4" w14:textId="77777777" w:rsidR="00D63248" w:rsidRPr="006911ED" w:rsidRDefault="00D63248" w:rsidP="00D63248">
      <w:pPr>
        <w:rPr>
          <w:rFonts w:ascii="Lucida Sans" w:hAnsi="Lucida Sans" w:cs="Lucida Sans"/>
          <w:szCs w:val="18"/>
        </w:rPr>
      </w:pPr>
      <w:r w:rsidRPr="006911ED">
        <w:rPr>
          <w:rFonts w:ascii="Lucida Sans" w:hAnsi="Lucida Sans" w:cs="Lucida Sans"/>
          <w:szCs w:val="18"/>
        </w:rPr>
        <w:t>Alle prosessansvarlige/ledere i banken er involvert ved utarbeidelse av ICAAP.  Disse involveres i utarbeidelse av risikoanalyse og vurdering av bankens internkontroll.</w:t>
      </w:r>
    </w:p>
    <w:p w14:paraId="436E169D" w14:textId="77777777" w:rsidR="00D63248" w:rsidRDefault="00D63248" w:rsidP="00D63248">
      <w:pPr>
        <w:rPr>
          <w:rFonts w:ascii="Lucida Sans Unicode" w:hAnsi="Lucida Sans Unicode" w:cs="Lucida Sans Unicode"/>
          <w:szCs w:val="18"/>
        </w:rPr>
      </w:pPr>
    </w:p>
    <w:p w14:paraId="716652CF" w14:textId="77777777" w:rsidR="00D63248" w:rsidRDefault="00D63248" w:rsidP="00D63248">
      <w:pPr>
        <w:pStyle w:val="Overskrift3"/>
      </w:pPr>
      <w:bookmarkStart w:id="47" w:name="_Toc2665155"/>
      <w:r>
        <w:t>7.3</w:t>
      </w:r>
      <w:r>
        <w:tab/>
        <w:t xml:space="preserve">Organisering av risikostyrings- og </w:t>
      </w:r>
      <w:proofErr w:type="spellStart"/>
      <w:r>
        <w:t>compliancefunksjonen</w:t>
      </w:r>
      <w:bookmarkEnd w:id="47"/>
      <w:proofErr w:type="spellEnd"/>
    </w:p>
    <w:p w14:paraId="7D83BDDD" w14:textId="77777777" w:rsidR="00D63248" w:rsidRDefault="00D63248" w:rsidP="00D63248">
      <w:r>
        <w:t>Styret har i policy for virksomhets- og risikostyring bl.a. gitt overordnede prinsipper for internkontroll og en beskrivelse av organiseringen av funksjoner samt satt krav til helhetlig risikostyring.  Her nedfelles også styrets overordnede risikotoleranse, mens de konkrete rammene for kreditt-, likviditets-, markeds- og operasjonell risiko fastsettes i separate underliggende policydokumenter/retningslinjer.</w:t>
      </w:r>
    </w:p>
    <w:p w14:paraId="4217D26D" w14:textId="77777777" w:rsidR="00D63248" w:rsidRPr="009D6322" w:rsidRDefault="00D63248" w:rsidP="00D63248">
      <w:pPr>
        <w:rPr>
          <w:rFonts w:ascii="Lucida Sans" w:hAnsi="Lucida Sans"/>
        </w:rPr>
      </w:pPr>
      <w:r w:rsidRPr="009D6322">
        <w:rPr>
          <w:rFonts w:ascii="Lucida Sans" w:hAnsi="Lucida Sans"/>
        </w:rPr>
        <w:lastRenderedPageBreak/>
        <w:t xml:space="preserve">Banken har en uavhengig risikostyrings- og </w:t>
      </w:r>
      <w:proofErr w:type="spellStart"/>
      <w:r w:rsidRPr="009D6322">
        <w:rPr>
          <w:rFonts w:ascii="Lucida Sans" w:hAnsi="Lucida Sans"/>
        </w:rPr>
        <w:t>compliancefunksjon</w:t>
      </w:r>
      <w:proofErr w:type="spellEnd"/>
      <w:r w:rsidRPr="009D6322">
        <w:rPr>
          <w:rFonts w:ascii="Lucida Sans" w:hAnsi="Lucida Sans"/>
        </w:rPr>
        <w:t xml:space="preserve"> med tilstrekkelig kompetanse, ressurser, tid og gjennomslagskraft. </w:t>
      </w:r>
    </w:p>
    <w:p w14:paraId="26F08547" w14:textId="77777777" w:rsidR="00D63248" w:rsidRPr="009D6322" w:rsidRDefault="00D63248" w:rsidP="00D63248">
      <w:pPr>
        <w:rPr>
          <w:rFonts w:ascii="Lucida Sans" w:hAnsi="Lucida Sans"/>
        </w:rPr>
      </w:pPr>
      <w:r w:rsidRPr="009D6322">
        <w:rPr>
          <w:rFonts w:ascii="Lucida Sans" w:hAnsi="Lucida Sans"/>
        </w:rPr>
        <w:t xml:space="preserve">Risikostyringsfunksjonen skal sikre at alle vesentlige risikoer i banken er </w:t>
      </w:r>
      <w:r w:rsidRPr="009D6322">
        <w:t xml:space="preserve">identifisert, vurdert, styrt, målt og rapportert </w:t>
      </w:r>
      <w:r w:rsidRPr="009D6322">
        <w:rPr>
          <w:rFonts w:ascii="Lucida Sans" w:hAnsi="Lucida Sans"/>
        </w:rPr>
        <w:t xml:space="preserve">av lederne for de ulike forretningsområdene. </w:t>
      </w:r>
      <w:proofErr w:type="spellStart"/>
      <w:r w:rsidRPr="009D6322">
        <w:rPr>
          <w:rFonts w:ascii="Lucida Sans" w:hAnsi="Lucida Sans"/>
        </w:rPr>
        <w:t>Compliancefunksjonen</w:t>
      </w:r>
      <w:proofErr w:type="spellEnd"/>
      <w:r w:rsidRPr="009D6322">
        <w:rPr>
          <w:rFonts w:ascii="Lucida Sans" w:hAnsi="Lucida Sans"/>
        </w:rPr>
        <w:t xml:space="preserve"> skal sikre at bankens forretningsområder etterlever lover, forskrifter og standarder, slik at banken ikke blir rammet av offentlige sanksjoner, økonomisk tap eller tap av omdømme. Bankens retningslinjer for risikostyrings- og </w:t>
      </w:r>
      <w:proofErr w:type="spellStart"/>
      <w:r w:rsidRPr="009D6322">
        <w:rPr>
          <w:rFonts w:ascii="Lucida Sans" w:hAnsi="Lucida Sans"/>
        </w:rPr>
        <w:t>compliancefunksjonen</w:t>
      </w:r>
      <w:proofErr w:type="spellEnd"/>
      <w:r w:rsidRPr="009D6322">
        <w:rPr>
          <w:rFonts w:ascii="Lucida Sans" w:hAnsi="Lucida Sans"/>
        </w:rPr>
        <w:t xml:space="preserve"> beskriver funksjonens </w:t>
      </w:r>
      <w:r w:rsidRPr="009D6322">
        <w:t>organisatoriske plassering, arbeidsoppgaver og krav til kompetanse.</w:t>
      </w:r>
      <w:r w:rsidRPr="009D6322">
        <w:rPr>
          <w:rFonts w:ascii="Lucida Sans" w:hAnsi="Lucida Sans"/>
        </w:rPr>
        <w:t xml:space="preserve"> </w:t>
      </w:r>
    </w:p>
    <w:p w14:paraId="7435BAEC" w14:textId="77777777" w:rsidR="00D63248" w:rsidRPr="009D6322" w:rsidRDefault="00D63248" w:rsidP="00D63248">
      <w:pPr>
        <w:rPr>
          <w:rFonts w:ascii="Lucida Sans" w:hAnsi="Lucida Sans"/>
        </w:rPr>
      </w:pPr>
      <w:r w:rsidRPr="009D6322">
        <w:rPr>
          <w:rFonts w:ascii="Lucida Sans" w:hAnsi="Lucida Sans"/>
        </w:rPr>
        <w:t xml:space="preserve">Lederen av risikostyrings- og </w:t>
      </w:r>
      <w:proofErr w:type="spellStart"/>
      <w:r w:rsidRPr="009D6322">
        <w:rPr>
          <w:rFonts w:ascii="Lucida Sans" w:hAnsi="Lucida Sans"/>
        </w:rPr>
        <w:t>compliancefunksjonen</w:t>
      </w:r>
      <w:proofErr w:type="spellEnd"/>
      <w:r w:rsidRPr="009D6322">
        <w:rPr>
          <w:rFonts w:ascii="Lucida Sans" w:hAnsi="Lucida Sans"/>
        </w:rPr>
        <w:t xml:space="preserve"> kan ikke avsettes uten samtykke fra styret.</w:t>
      </w:r>
    </w:p>
    <w:p w14:paraId="4C50F089" w14:textId="77777777" w:rsidR="00D63248" w:rsidRDefault="00D63248" w:rsidP="00D63248">
      <w:pPr>
        <w:rPr>
          <w:rFonts w:ascii="Lucida Sans" w:hAnsi="Lucida Sans"/>
        </w:rPr>
      </w:pPr>
      <w:r w:rsidRPr="004F1773">
        <w:rPr>
          <w:rFonts w:ascii="Lucida Sans" w:hAnsi="Lucida Sans"/>
        </w:rPr>
        <w:t xml:space="preserve">Risikostyringsfunksjonen og </w:t>
      </w:r>
      <w:proofErr w:type="spellStart"/>
      <w:r w:rsidRPr="004F1773">
        <w:rPr>
          <w:rFonts w:ascii="Lucida Sans" w:hAnsi="Lucida Sans"/>
        </w:rPr>
        <w:t>compliancefunksjonen</w:t>
      </w:r>
      <w:proofErr w:type="spellEnd"/>
      <w:r w:rsidRPr="004F1773">
        <w:rPr>
          <w:rFonts w:ascii="Lucida Sans" w:hAnsi="Lucida Sans"/>
        </w:rPr>
        <w:t xml:space="preserve"> rapporterer til </w:t>
      </w:r>
      <w:proofErr w:type="spellStart"/>
      <w:r w:rsidRPr="004F1773">
        <w:rPr>
          <w:rFonts w:ascii="Lucida Sans" w:hAnsi="Lucida Sans"/>
        </w:rPr>
        <w:t>adm.banksjef</w:t>
      </w:r>
      <w:proofErr w:type="spellEnd"/>
      <w:r w:rsidRPr="004F1773">
        <w:rPr>
          <w:rFonts w:ascii="Lucida Sans" w:hAnsi="Lucida Sans"/>
        </w:rPr>
        <w:t xml:space="preserve">, og kan rapportere direkte til styret/revisjons- og risikoutvalget i tilfeller der styret ikke får nødvendig informasjon om vesentlige risikoer via den alminnelige rapporten.  Organisering av risikostyrings- og </w:t>
      </w:r>
      <w:proofErr w:type="spellStart"/>
      <w:r w:rsidRPr="004F1773">
        <w:rPr>
          <w:rFonts w:ascii="Lucida Sans" w:hAnsi="Lucida Sans"/>
        </w:rPr>
        <w:t>compliancefunksjonen</w:t>
      </w:r>
      <w:proofErr w:type="spellEnd"/>
      <w:r w:rsidRPr="004F1773">
        <w:rPr>
          <w:rFonts w:ascii="Lucida Sans" w:hAnsi="Lucida Sans"/>
        </w:rPr>
        <w:t xml:space="preserve"> kan illustreres som i figuren nedenfor.</w:t>
      </w:r>
      <w:bookmarkStart w:id="48" w:name="_Toc223762805"/>
      <w:bookmarkStart w:id="49" w:name="_Toc223762806"/>
      <w:bookmarkStart w:id="50" w:name="_Toc223762807"/>
      <w:bookmarkStart w:id="51" w:name="_Toc223762808"/>
      <w:bookmarkStart w:id="52" w:name="_Toc223762809"/>
      <w:bookmarkEnd w:id="48"/>
      <w:bookmarkEnd w:id="49"/>
      <w:bookmarkEnd w:id="50"/>
      <w:bookmarkEnd w:id="51"/>
      <w:bookmarkEnd w:id="52"/>
    </w:p>
    <w:p w14:paraId="58289AE6" w14:textId="77777777" w:rsidR="00D63248" w:rsidRDefault="00D63248" w:rsidP="00D63248">
      <w:pPr>
        <w:rPr>
          <w:rFonts w:ascii="Lucida Sans" w:hAnsi="Lucida Sans"/>
        </w:rPr>
      </w:pPr>
      <w:r w:rsidRPr="006D38B8">
        <w:rPr>
          <w:noProof/>
          <w:lang w:eastAsia="nb-NO"/>
        </w:rPr>
        <w:drawing>
          <wp:inline distT="0" distB="0" distL="0" distR="0" wp14:anchorId="489F1071" wp14:editId="1946AACD">
            <wp:extent cx="4495800" cy="329057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28CB4F4F" w14:textId="77777777" w:rsidR="00D63248" w:rsidRDefault="00D63248" w:rsidP="00D63248">
      <w:pPr>
        <w:rPr>
          <w:rFonts w:ascii="Lucida Sans" w:hAnsi="Lucida Sans"/>
        </w:rPr>
      </w:pPr>
    </w:p>
    <w:p w14:paraId="1AAE56CE" w14:textId="77777777" w:rsidR="00D63248" w:rsidRPr="005E0800" w:rsidRDefault="00D63248" w:rsidP="00D63248">
      <w:pPr>
        <w:rPr>
          <w:rFonts w:ascii="Lucida Sans" w:hAnsi="Lucida Sans"/>
        </w:rPr>
      </w:pPr>
    </w:p>
    <w:p w14:paraId="2D44CCCB" w14:textId="77777777" w:rsidR="00D63248" w:rsidRDefault="00D63248" w:rsidP="00D63248">
      <w:pPr>
        <w:rPr>
          <w:rFonts w:ascii="Lucida Sans" w:hAnsi="Lucida Sans"/>
        </w:rPr>
      </w:pPr>
    </w:p>
    <w:p w14:paraId="437144D0" w14:textId="77777777" w:rsidR="00D63248" w:rsidRDefault="00D63248" w:rsidP="00D63248">
      <w:pPr>
        <w:pStyle w:val="Overskrift3"/>
      </w:pPr>
      <w:bookmarkStart w:id="53" w:name="_Toc2665156"/>
      <w:r>
        <w:lastRenderedPageBreak/>
        <w:t>7.4</w:t>
      </w:r>
      <w:r>
        <w:tab/>
        <w:t>Omtale av de ulike risikotypene</w:t>
      </w:r>
      <w:bookmarkEnd w:id="53"/>
    </w:p>
    <w:p w14:paraId="6B69BAD3" w14:textId="77777777" w:rsidR="00D63248" w:rsidRDefault="00D63248" w:rsidP="00D63248">
      <w:pPr>
        <w:pStyle w:val="Overskrift3"/>
      </w:pPr>
      <w:bookmarkStart w:id="54" w:name="_Toc2665157"/>
      <w:r>
        <w:t>7.4.1</w:t>
      </w:r>
      <w:r>
        <w:tab/>
        <w:t>Kredittrisiko</w:t>
      </w:r>
      <w:bookmarkEnd w:id="54"/>
    </w:p>
    <w:p w14:paraId="523113A2" w14:textId="77777777" w:rsidR="00D63248" w:rsidRPr="002756DF" w:rsidRDefault="00D63248" w:rsidP="00D63248">
      <w:pPr>
        <w:rPr>
          <w:rFonts w:ascii="Lucida Sans Unicode" w:hAnsi="Lucida Sans Unicode" w:cs="Lucida Sans Unicode"/>
          <w:szCs w:val="18"/>
        </w:rPr>
      </w:pPr>
      <w:r w:rsidRPr="002756DF">
        <w:rPr>
          <w:rFonts w:ascii="Lucida Sans Unicode" w:hAnsi="Lucida Sans Unicode" w:cs="Lucida Sans Unicode"/>
          <w:szCs w:val="18"/>
        </w:rPr>
        <w:t>Kredittrisiko er risikoen for at banken påføres tap på grunn av at motparten ikke er i stand til å innfri sine for</w:t>
      </w:r>
      <w:r w:rsidRPr="002756DF">
        <w:rPr>
          <w:rFonts w:ascii="Lucida Sans Unicode" w:hAnsi="Lucida Sans Unicode" w:cs="Lucida Sans Unicode"/>
          <w:szCs w:val="18"/>
        </w:rPr>
        <w:softHyphen/>
        <w:t>pliktelser ved forfall.  Kredittrisiko representerer det største risikoområdet for banken og vedrører alle fordringer på kunder som i hovedsak er utlån. Også andre utstedte kreditter, garantier, rentebærende verdipapirer, innvilgede ikke trukne kreditter er forbundet med kreditt</w:t>
      </w:r>
      <w:r w:rsidRPr="002756DF">
        <w:rPr>
          <w:rFonts w:ascii="Lucida Sans Unicode" w:hAnsi="Lucida Sans Unicode" w:cs="Lucida Sans Unicode"/>
          <w:szCs w:val="18"/>
        </w:rPr>
        <w:softHyphen/>
        <w:t>risiko. Motpartrisiko som oppstår gjennom derivater og valutakontrakter innebærer også kredittrisiko.</w:t>
      </w:r>
    </w:p>
    <w:p w14:paraId="3FCB05BE" w14:textId="77777777" w:rsidR="00D63248" w:rsidRPr="002756DF" w:rsidRDefault="00D63248" w:rsidP="00D63248">
      <w:pPr>
        <w:rPr>
          <w:rFonts w:ascii="Lucida Sans Unicode" w:hAnsi="Lucida Sans Unicode" w:cs="Lucida Sans Unicode"/>
          <w:szCs w:val="18"/>
        </w:rPr>
      </w:pPr>
      <w:r w:rsidRPr="002756DF">
        <w:rPr>
          <w:rFonts w:ascii="Lucida Sans Unicode" w:hAnsi="Lucida Sans Unicode" w:cs="Lucida Sans Unicode"/>
          <w:szCs w:val="18"/>
        </w:rPr>
        <w:t xml:space="preserve">Bankens policy for kredittrisiko beskriver krav, rammer, organisering mv. på området kredittrisiko.  Risikoen styres i tillegg gjennom rutiner og retningslinjer.  Banken har etablert en </w:t>
      </w:r>
      <w:proofErr w:type="spellStart"/>
      <w:r w:rsidRPr="002756DF">
        <w:rPr>
          <w:rFonts w:ascii="Lucida Sans Unicode" w:hAnsi="Lucida Sans Unicode" w:cs="Lucida Sans Unicode"/>
          <w:szCs w:val="18"/>
        </w:rPr>
        <w:t>fullmaktsstruktur</w:t>
      </w:r>
      <w:proofErr w:type="spellEnd"/>
      <w:r w:rsidRPr="002756DF">
        <w:rPr>
          <w:rFonts w:ascii="Lucida Sans Unicode" w:hAnsi="Lucida Sans Unicode" w:cs="Lucida Sans Unicode"/>
          <w:szCs w:val="18"/>
        </w:rPr>
        <w:t xml:space="preserve"> ved innvilgelse av lån og kreditter, og har for større </w:t>
      </w:r>
      <w:proofErr w:type="spellStart"/>
      <w:r w:rsidRPr="002756DF">
        <w:rPr>
          <w:rFonts w:ascii="Lucida Sans Unicode" w:hAnsi="Lucida Sans Unicode" w:cs="Lucida Sans Unicode"/>
          <w:szCs w:val="18"/>
        </w:rPr>
        <w:t>kredittsaker</w:t>
      </w:r>
      <w:proofErr w:type="spellEnd"/>
      <w:r w:rsidRPr="002756DF">
        <w:rPr>
          <w:rFonts w:ascii="Lucida Sans Unicode" w:hAnsi="Lucida Sans Unicode" w:cs="Lucida Sans Unicode"/>
          <w:szCs w:val="18"/>
        </w:rPr>
        <w:t xml:space="preserve"> etablert en kredittkomite.</w:t>
      </w:r>
    </w:p>
    <w:p w14:paraId="6AA82655" w14:textId="77777777" w:rsidR="00D63248" w:rsidRDefault="00D63248" w:rsidP="00D63248">
      <w:pPr>
        <w:pStyle w:val="Overskrift3"/>
      </w:pPr>
      <w:bookmarkStart w:id="55" w:name="_Toc2665158"/>
      <w:r>
        <w:t>7.4.2</w:t>
      </w:r>
      <w:r>
        <w:tab/>
        <w:t>Likviditets- og finansieringsrisiko</w:t>
      </w:r>
      <w:bookmarkEnd w:id="55"/>
    </w:p>
    <w:p w14:paraId="4FD382B0" w14:textId="77777777" w:rsidR="00D63248" w:rsidRPr="002756DF" w:rsidRDefault="00D63248" w:rsidP="00D63248">
      <w:pPr>
        <w:rPr>
          <w:rFonts w:ascii="Lucida Sans Unicode" w:hAnsi="Lucida Sans Unicode" w:cs="Lucida Sans Unicode"/>
          <w:szCs w:val="18"/>
        </w:rPr>
      </w:pPr>
      <w:r w:rsidRPr="002756DF">
        <w:rPr>
          <w:rFonts w:ascii="Lucida Sans Unicode" w:hAnsi="Lucida Sans Unicode" w:cs="Lucida Sans Unicode"/>
          <w:szCs w:val="18"/>
        </w:rPr>
        <w:t>Likviditetsrisiko er risikoen for at banken ikke skal kunne gjøre opp sine forpliktelser på forfall.  Bankens inn</w:t>
      </w:r>
      <w:r w:rsidRPr="002756DF">
        <w:rPr>
          <w:rFonts w:ascii="Lucida Sans Unicode" w:hAnsi="Lucida Sans Unicode" w:cs="Lucida Sans Unicode"/>
          <w:szCs w:val="18"/>
        </w:rPr>
        <w:softHyphen/>
        <w:t>skudds</w:t>
      </w:r>
      <w:r w:rsidRPr="002756DF">
        <w:rPr>
          <w:rFonts w:ascii="Lucida Sans Unicode" w:hAnsi="Lucida Sans Unicode" w:cs="Lucida Sans Unicode"/>
          <w:szCs w:val="18"/>
        </w:rPr>
        <w:softHyphen/>
        <w:t>kunder kan i praksis på kort varsel disponere sin innskuddskapital.  Derimot vil bankens lånekunder ønske langsiktig finansiering og kredittramme.  På denne måten eksponeres banken for likviditetsrisiko.</w:t>
      </w:r>
    </w:p>
    <w:p w14:paraId="004984CA" w14:textId="49F36AF9" w:rsidR="00D63248" w:rsidRDefault="00D63248" w:rsidP="00D63248">
      <w:pPr>
        <w:rPr>
          <w:rFonts w:ascii="Lucida Sans Unicode" w:hAnsi="Lucida Sans Unicode" w:cs="Lucida Sans Unicode"/>
          <w:szCs w:val="18"/>
        </w:rPr>
      </w:pPr>
      <w:r w:rsidRPr="002756DF">
        <w:rPr>
          <w:rFonts w:ascii="Lucida Sans Unicode" w:hAnsi="Lucida Sans Unicode" w:cs="Lucida Sans Unicode"/>
          <w:szCs w:val="18"/>
        </w:rPr>
        <w:t>God likviditetsstyring sikrer at banken er i stand til å dekke sine løpende forpliktelser, at den oppfyller alle lovkrav, og at dette gjøres til lavest mulig kostnad.  Det er vedtatt en likviditetspolicy for banken, siste versjon ble vedtatt</w:t>
      </w:r>
      <w:r w:rsidR="003D6E12">
        <w:rPr>
          <w:rFonts w:ascii="Lucida Sans Unicode" w:hAnsi="Lucida Sans Unicode" w:cs="Lucida Sans Unicode"/>
          <w:szCs w:val="18"/>
        </w:rPr>
        <w:t xml:space="preserve"> 2020</w:t>
      </w:r>
      <w:r w:rsidRPr="002756DF">
        <w:rPr>
          <w:rFonts w:ascii="Lucida Sans Unicode" w:hAnsi="Lucida Sans Unicode" w:cs="Lucida Sans Unicode"/>
          <w:szCs w:val="18"/>
        </w:rPr>
        <w:t>.  Ut i fra denne policyen utarbeides en periodisk risikorapport (kvartalsvis).  Stresstest vedr. likviditet foretas årlig, siste test var pr. 31.03.20</w:t>
      </w:r>
      <w:r w:rsidR="003D6E12">
        <w:rPr>
          <w:rFonts w:ascii="Lucida Sans Unicode" w:hAnsi="Lucida Sans Unicode" w:cs="Lucida Sans Unicode"/>
          <w:szCs w:val="18"/>
        </w:rPr>
        <w:t>20</w:t>
      </w:r>
      <w:r w:rsidR="00561103">
        <w:rPr>
          <w:rFonts w:ascii="Lucida Sans Unicode" w:hAnsi="Lucida Sans Unicode" w:cs="Lucida Sans Unicode"/>
          <w:szCs w:val="18"/>
        </w:rPr>
        <w:t xml:space="preserve">.  </w:t>
      </w:r>
      <w:r w:rsidRPr="002756DF">
        <w:rPr>
          <w:rFonts w:ascii="Lucida Sans Unicode" w:hAnsi="Lucida Sans Unicode" w:cs="Lucida Sans Unicode"/>
          <w:szCs w:val="18"/>
        </w:rPr>
        <w:t xml:space="preserve">Likviditetssituasjonen anses tilfredsstillende for banken.  </w:t>
      </w:r>
    </w:p>
    <w:p w14:paraId="1F77ED9C" w14:textId="77777777" w:rsidR="00D63248" w:rsidRDefault="00D63248" w:rsidP="00D63248">
      <w:pPr>
        <w:pStyle w:val="Overskrift3"/>
      </w:pPr>
      <w:bookmarkStart w:id="56" w:name="_Toc2665159"/>
      <w:r>
        <w:t>7.4.3</w:t>
      </w:r>
      <w:r>
        <w:tab/>
        <w:t>Markedsrisiko</w:t>
      </w:r>
      <w:bookmarkEnd w:id="56"/>
    </w:p>
    <w:p w14:paraId="56E3444D" w14:textId="77777777" w:rsidR="00D63248" w:rsidRDefault="00D63248" w:rsidP="00D63248">
      <w:r>
        <w:t xml:space="preserve">Med markedsrisiko forstås risiko for tap som følge av </w:t>
      </w:r>
      <w:proofErr w:type="spellStart"/>
      <w:r>
        <w:t>svinginger</w:t>
      </w:r>
      <w:proofErr w:type="spellEnd"/>
      <w:r>
        <w:t xml:space="preserve"> i aksjekurser, </w:t>
      </w:r>
      <w:proofErr w:type="spellStart"/>
      <w:r>
        <w:t>kredittspreader</w:t>
      </w:r>
      <w:proofErr w:type="spellEnd"/>
      <w:r>
        <w:t>, renter og valutakurser.  Nedenfor følger en nærmere omtale av renterisiko, valutarisiko og kursrisiko.  Bankens policy for markedsrisiko fastsetter flere typer rammer for tillatte instrumenter samt rammer for renterisiko og valutarisiko.  Disse er basert på vedtatt risikotoleranse og overordnet strategi for markedsrisikoområdet.  Risikoen styres i tillegg gjennom etablerte rutiner og retningslinjer.</w:t>
      </w:r>
    </w:p>
    <w:p w14:paraId="67C022E6" w14:textId="77777777" w:rsidR="00D63248" w:rsidRDefault="00D63248" w:rsidP="00D63248">
      <w:r>
        <w:t>Bankens markedsrisiko skal være lav/moderat.</w:t>
      </w:r>
    </w:p>
    <w:p w14:paraId="5107C518" w14:textId="77777777" w:rsidR="00D63248" w:rsidRDefault="00D63248" w:rsidP="00D63248">
      <w:pPr>
        <w:pStyle w:val="Ingress"/>
      </w:pPr>
      <w:r>
        <w:t>Renterisiko</w:t>
      </w:r>
    </w:p>
    <w:p w14:paraId="32210701" w14:textId="77777777" w:rsidR="00D63248" w:rsidRDefault="00D63248" w:rsidP="00D63248">
      <w:pPr>
        <w:rPr>
          <w:rFonts w:ascii="Lucida Sans Unicode" w:hAnsi="Lucida Sans Unicode" w:cs="Lucida Sans Unicode"/>
          <w:sz w:val="16"/>
          <w:szCs w:val="16"/>
        </w:rPr>
      </w:pPr>
      <w:r w:rsidRPr="00B23A96">
        <w:rPr>
          <w:rFonts w:ascii="Lucida Sans Unicode" w:hAnsi="Lucida Sans Unicode" w:cs="Lucida Sans Unicode"/>
          <w:sz w:val="16"/>
          <w:szCs w:val="16"/>
        </w:rPr>
        <w:t xml:space="preserve">Renterisiko oppstår i forbindelse med bankens utlåns- og innlånsvirksomhet og i tilknytning til bankens beholdning av verdipapirer.  Renterisiko er resultat av at rentebindingstiden for bankens aktiva- og </w:t>
      </w:r>
      <w:proofErr w:type="spellStart"/>
      <w:r w:rsidRPr="00B23A96">
        <w:rPr>
          <w:rFonts w:ascii="Lucida Sans Unicode" w:hAnsi="Lucida Sans Unicode" w:cs="Lucida Sans Unicode"/>
          <w:sz w:val="16"/>
          <w:szCs w:val="16"/>
        </w:rPr>
        <w:t>passivaside</w:t>
      </w:r>
      <w:proofErr w:type="spellEnd"/>
      <w:r w:rsidRPr="00B23A96">
        <w:rPr>
          <w:rFonts w:ascii="Lucida Sans Unicode" w:hAnsi="Lucida Sans Unicode" w:cs="Lucida Sans Unicode"/>
          <w:sz w:val="16"/>
          <w:szCs w:val="16"/>
        </w:rPr>
        <w:t xml:space="preserve"> ikke er sam</w:t>
      </w:r>
      <w:r>
        <w:rPr>
          <w:rFonts w:ascii="Lucida Sans Unicode" w:hAnsi="Lucida Sans Unicode" w:cs="Lucida Sans Unicode"/>
          <w:sz w:val="16"/>
          <w:szCs w:val="16"/>
        </w:rPr>
        <w:softHyphen/>
      </w:r>
      <w:r w:rsidRPr="00B23A96">
        <w:rPr>
          <w:rFonts w:ascii="Lucida Sans Unicode" w:hAnsi="Lucida Sans Unicode" w:cs="Lucida Sans Unicode"/>
          <w:sz w:val="16"/>
          <w:szCs w:val="16"/>
        </w:rPr>
        <w:t>men</w:t>
      </w:r>
      <w:r>
        <w:rPr>
          <w:rFonts w:ascii="Lucida Sans Unicode" w:hAnsi="Lucida Sans Unicode" w:cs="Lucida Sans Unicode"/>
          <w:sz w:val="16"/>
          <w:szCs w:val="16"/>
        </w:rPr>
        <w:softHyphen/>
      </w:r>
      <w:r w:rsidRPr="00B23A96">
        <w:rPr>
          <w:rFonts w:ascii="Lucida Sans Unicode" w:hAnsi="Lucida Sans Unicode" w:cs="Lucida Sans Unicode"/>
          <w:sz w:val="16"/>
          <w:szCs w:val="16"/>
        </w:rPr>
        <w:t>fallende.</w:t>
      </w:r>
      <w:r>
        <w:rPr>
          <w:rFonts w:ascii="Lucida Sans Unicode" w:hAnsi="Lucida Sans Unicode" w:cs="Lucida Sans Unicode"/>
          <w:sz w:val="16"/>
          <w:szCs w:val="16"/>
        </w:rPr>
        <w:t xml:space="preserve">  </w:t>
      </w:r>
    </w:p>
    <w:p w14:paraId="498635F0" w14:textId="77777777" w:rsidR="00561103" w:rsidRDefault="00561103" w:rsidP="00D63248">
      <w:pPr>
        <w:pStyle w:val="Ingress"/>
      </w:pPr>
    </w:p>
    <w:p w14:paraId="54B8F21F" w14:textId="1A5BA99A" w:rsidR="00D63248" w:rsidRDefault="00D63248" w:rsidP="00D63248">
      <w:pPr>
        <w:pStyle w:val="Ingress"/>
      </w:pPr>
      <w:r>
        <w:lastRenderedPageBreak/>
        <w:t>Valutarisiko</w:t>
      </w:r>
    </w:p>
    <w:p w14:paraId="562D6EB8" w14:textId="77777777" w:rsidR="00D63248" w:rsidRDefault="00D63248" w:rsidP="00D63248">
      <w:pPr>
        <w:rPr>
          <w:rFonts w:ascii="Lucida Sans Unicode" w:hAnsi="Lucida Sans Unicode" w:cs="Lucida Sans Unicode"/>
          <w:sz w:val="16"/>
          <w:szCs w:val="16"/>
        </w:rPr>
      </w:pPr>
      <w:r w:rsidRPr="00B23A96">
        <w:rPr>
          <w:rFonts w:ascii="Lucida Sans Unicode" w:hAnsi="Lucida Sans Unicode" w:cs="Lucida Sans Unicode"/>
          <w:sz w:val="16"/>
          <w:szCs w:val="16"/>
        </w:rPr>
        <w:t>Valutarisiko er risikoen for tap som følge av endringer i valutakurser.</w:t>
      </w:r>
    </w:p>
    <w:p w14:paraId="27FD726B" w14:textId="77777777" w:rsidR="00D63248" w:rsidRDefault="00D63248" w:rsidP="00D63248">
      <w:pPr>
        <w:rPr>
          <w:rFonts w:ascii="Lucida Sans Unicode" w:hAnsi="Lucida Sans Unicode" w:cs="Lucida Sans Unicode"/>
          <w:sz w:val="16"/>
          <w:szCs w:val="16"/>
        </w:rPr>
      </w:pPr>
      <w:r w:rsidRPr="00B23A96">
        <w:rPr>
          <w:rFonts w:ascii="Lucida Sans Unicode" w:hAnsi="Lucida Sans Unicode" w:cs="Lucida Sans Unicode"/>
          <w:sz w:val="16"/>
          <w:szCs w:val="16"/>
        </w:rPr>
        <w:t xml:space="preserve">Bankens balanseposter i utenlandsk valuta utgjøres av kassebeholdningen. Denne er omregnet til norske kroner basert på kursen ved årets utgang. Risiko for valutatap ansees å være uvesentlig. </w:t>
      </w:r>
      <w:r>
        <w:rPr>
          <w:rFonts w:ascii="Lucida Sans Unicode" w:hAnsi="Lucida Sans Unicode" w:cs="Lucida Sans Unicode"/>
          <w:sz w:val="16"/>
          <w:szCs w:val="16"/>
        </w:rPr>
        <w:t xml:space="preserve"> </w:t>
      </w:r>
      <w:r w:rsidRPr="00B23A96">
        <w:rPr>
          <w:rFonts w:ascii="Lucida Sans Unicode" w:hAnsi="Lucida Sans Unicode" w:cs="Lucida Sans Unicode"/>
          <w:sz w:val="16"/>
          <w:szCs w:val="16"/>
        </w:rPr>
        <w:t xml:space="preserve">I tillegg har banken driftsavtale i danske kroner med den danske datasentralen SDC.   Avtalen har en rammeverdi på </w:t>
      </w:r>
      <w:r>
        <w:rPr>
          <w:rFonts w:ascii="Lucida Sans Unicode" w:hAnsi="Lucida Sans Unicode" w:cs="Lucida Sans Unicode"/>
          <w:sz w:val="16"/>
          <w:szCs w:val="16"/>
        </w:rPr>
        <w:t>nesten</w:t>
      </w:r>
      <w:r w:rsidRPr="00B23A96">
        <w:rPr>
          <w:rFonts w:ascii="Lucida Sans Unicode" w:hAnsi="Lucida Sans Unicode" w:cs="Lucida Sans Unicode"/>
          <w:sz w:val="16"/>
          <w:szCs w:val="16"/>
        </w:rPr>
        <w:t xml:space="preserve"> </w:t>
      </w:r>
      <w:r>
        <w:rPr>
          <w:rFonts w:ascii="Lucida Sans Unicode" w:hAnsi="Lucida Sans Unicode" w:cs="Lucida Sans Unicode"/>
          <w:sz w:val="16"/>
          <w:szCs w:val="16"/>
        </w:rPr>
        <w:t>5</w:t>
      </w:r>
      <w:r w:rsidRPr="00B23A96">
        <w:rPr>
          <w:rFonts w:ascii="Lucida Sans Unicode" w:hAnsi="Lucida Sans Unicode" w:cs="Lucida Sans Unicode"/>
          <w:sz w:val="16"/>
          <w:szCs w:val="16"/>
        </w:rPr>
        <w:t xml:space="preserve"> millioner</w:t>
      </w:r>
      <w:r>
        <w:rPr>
          <w:rFonts w:ascii="Lucida Sans Unicode" w:hAnsi="Lucida Sans Unicode" w:cs="Lucida Sans Unicode"/>
          <w:sz w:val="16"/>
          <w:szCs w:val="16"/>
        </w:rPr>
        <w:t xml:space="preserve"> danske</w:t>
      </w:r>
      <w:r w:rsidRPr="00B23A96">
        <w:rPr>
          <w:rFonts w:ascii="Lucida Sans Unicode" w:hAnsi="Lucida Sans Unicode" w:cs="Lucida Sans Unicode"/>
          <w:sz w:val="16"/>
          <w:szCs w:val="16"/>
        </w:rPr>
        <w:t xml:space="preserve"> kroner.</w:t>
      </w:r>
    </w:p>
    <w:p w14:paraId="411B4A16" w14:textId="77777777" w:rsidR="00D63248" w:rsidRDefault="00D63248" w:rsidP="00D63248">
      <w:pPr>
        <w:pStyle w:val="Ingress"/>
      </w:pPr>
      <w:r>
        <w:t>Kursrisiko</w:t>
      </w:r>
    </w:p>
    <w:p w14:paraId="4EF61851" w14:textId="77777777" w:rsidR="00D63248" w:rsidRPr="00561103" w:rsidRDefault="00D63248" w:rsidP="00D63248">
      <w:pPr>
        <w:rPr>
          <w:rFonts w:ascii="Lucida Sans Unicode" w:hAnsi="Lucida Sans Unicode" w:cs="Lucida Sans Unicode"/>
          <w:sz w:val="16"/>
          <w:szCs w:val="16"/>
        </w:rPr>
      </w:pPr>
      <w:r w:rsidRPr="00561103">
        <w:rPr>
          <w:rFonts w:ascii="Lucida Sans Unicode" w:hAnsi="Lucida Sans Unicode" w:cs="Lucida Sans Unicode"/>
          <w:sz w:val="16"/>
          <w:szCs w:val="16"/>
        </w:rPr>
        <w:t xml:space="preserve">Aksjekursrisikoen omhandler risiko i forhold til aksjer, </w:t>
      </w:r>
      <w:proofErr w:type="spellStart"/>
      <w:r w:rsidRPr="00561103">
        <w:rPr>
          <w:rFonts w:ascii="Lucida Sans Unicode" w:hAnsi="Lucida Sans Unicode" w:cs="Lucida Sans Unicode"/>
          <w:sz w:val="16"/>
          <w:szCs w:val="16"/>
        </w:rPr>
        <w:t>egenkapitalbevis</w:t>
      </w:r>
      <w:proofErr w:type="spellEnd"/>
      <w:r w:rsidRPr="00561103">
        <w:rPr>
          <w:rFonts w:ascii="Lucida Sans Unicode" w:hAnsi="Lucida Sans Unicode" w:cs="Lucida Sans Unicode"/>
          <w:sz w:val="16"/>
          <w:szCs w:val="16"/>
        </w:rPr>
        <w:t xml:space="preserve"> og aksje-/rentefond, som gjerne deles inn i handelsportefølje, øvrige omløpsmidler og anleggsmidler.</w:t>
      </w:r>
    </w:p>
    <w:p w14:paraId="520FAB99" w14:textId="77777777" w:rsidR="00D63248" w:rsidRPr="00561103" w:rsidRDefault="00D63248" w:rsidP="00D63248">
      <w:pPr>
        <w:rPr>
          <w:rFonts w:ascii="Lucida Sans Unicode" w:hAnsi="Lucida Sans Unicode" w:cs="Lucida Sans Unicode"/>
          <w:sz w:val="16"/>
          <w:szCs w:val="16"/>
        </w:rPr>
      </w:pPr>
      <w:r w:rsidRPr="00561103">
        <w:rPr>
          <w:rFonts w:ascii="Lucida Sans Unicode" w:hAnsi="Lucida Sans Unicode" w:cs="Lucida Sans Unicode"/>
          <w:sz w:val="16"/>
          <w:szCs w:val="16"/>
        </w:rPr>
        <w:t xml:space="preserve">Selbu Sparebank har ingen handelsportefølje.  Det handles heller ikke i enkeltaksjer.  Fra tid til annen, avhengig av likviditetssituasjonen i banken, kan det inngå rente-/pengemarkedsfond i aksjeporteføljen.  Disse vurderes i tilfelle etter laveste verdis prinsipp, </w:t>
      </w:r>
      <w:proofErr w:type="spellStart"/>
      <w:r w:rsidRPr="00561103">
        <w:rPr>
          <w:rFonts w:ascii="Lucida Sans Unicode" w:hAnsi="Lucida Sans Unicode" w:cs="Lucida Sans Unicode"/>
          <w:sz w:val="16"/>
          <w:szCs w:val="16"/>
        </w:rPr>
        <w:t>dvs</w:t>
      </w:r>
      <w:proofErr w:type="spellEnd"/>
      <w:r w:rsidRPr="00561103">
        <w:rPr>
          <w:rFonts w:ascii="Lucida Sans Unicode" w:hAnsi="Lucida Sans Unicode" w:cs="Lucida Sans Unicode"/>
          <w:sz w:val="16"/>
          <w:szCs w:val="16"/>
        </w:rPr>
        <w:t xml:space="preserve"> til det laveste av historisk kostpris og virkelig verdi.</w:t>
      </w:r>
    </w:p>
    <w:p w14:paraId="3E36F40F" w14:textId="77777777" w:rsidR="00D63248" w:rsidRPr="00561103" w:rsidRDefault="00D63248" w:rsidP="00D63248">
      <w:pPr>
        <w:rPr>
          <w:rFonts w:ascii="Lucida Sans Unicode" w:hAnsi="Lucida Sans Unicode" w:cs="Lucida Sans Unicode"/>
          <w:sz w:val="16"/>
          <w:szCs w:val="16"/>
        </w:rPr>
      </w:pPr>
      <w:r w:rsidRPr="00561103">
        <w:rPr>
          <w:rFonts w:ascii="Lucida Sans Unicode" w:hAnsi="Lucida Sans Unicode" w:cs="Lucida Sans Unicode"/>
          <w:sz w:val="16"/>
          <w:szCs w:val="16"/>
        </w:rPr>
        <w:t>Pr. 31.12 består bankens aksjeportefølje hovedsakelig av aksjer i strategiske selskaper som er klassifisert som anleggsaksjer.  Disse er vurdert til anskaf</w:t>
      </w:r>
      <w:r w:rsidRPr="00561103">
        <w:rPr>
          <w:rFonts w:ascii="Lucida Sans Unicode" w:hAnsi="Lucida Sans Unicode" w:cs="Lucida Sans Unicode"/>
          <w:sz w:val="16"/>
          <w:szCs w:val="16"/>
        </w:rPr>
        <w:softHyphen/>
        <w:t>felses</w:t>
      </w:r>
      <w:r w:rsidRPr="00561103">
        <w:rPr>
          <w:rFonts w:ascii="Lucida Sans Unicode" w:hAnsi="Lucida Sans Unicode" w:cs="Lucida Sans Unicode"/>
          <w:sz w:val="16"/>
          <w:szCs w:val="16"/>
        </w:rPr>
        <w:softHyphen/>
        <w:t>kost og blir ikke regulert for løpende kurs- og verdiendringer.  Aksjene blir likevel nedskrevet hvis virkelig verdi synes å være lavere enn anskaffelseskost og verdinedgangen skyldes forhold som antas ikke å være av forbigående karakter.  Virkelig verdi baseres på informasjon om foretakets framtidige kontantstrømmer, soliditet og fremtidsutsikter.</w:t>
      </w:r>
    </w:p>
    <w:p w14:paraId="5D3DB75E" w14:textId="77777777" w:rsidR="00D63248" w:rsidRPr="00587548" w:rsidRDefault="00D63248" w:rsidP="00D63248">
      <w:pPr>
        <w:pStyle w:val="Overskrift3"/>
      </w:pPr>
      <w:bookmarkStart w:id="57" w:name="_Toc2665160"/>
      <w:r>
        <w:t>7.4.4</w:t>
      </w:r>
      <w:r>
        <w:tab/>
        <w:t>Operasjonell risiko</w:t>
      </w:r>
      <w:bookmarkEnd w:id="57"/>
    </w:p>
    <w:p w14:paraId="23B07BC6" w14:textId="77777777" w:rsidR="00D63248" w:rsidRDefault="00D63248" w:rsidP="00D63248">
      <w:pPr>
        <w:rPr>
          <w:rFonts w:ascii="Lucida Sans Unicode" w:hAnsi="Lucida Sans Unicode" w:cs="Lucida Sans Unicode"/>
          <w:sz w:val="16"/>
          <w:szCs w:val="16"/>
        </w:rPr>
      </w:pPr>
      <w:r w:rsidRPr="00B23A96">
        <w:rPr>
          <w:rFonts w:ascii="Lucida Sans Unicode" w:hAnsi="Lucida Sans Unicode" w:cs="Lucida Sans Unicode"/>
          <w:sz w:val="16"/>
          <w:szCs w:val="16"/>
        </w:rPr>
        <w:t>Bankens operasjonelle risiko er risiko for tap som følge av utilstrekkelige eller sviktend</w:t>
      </w:r>
      <w:r>
        <w:rPr>
          <w:rFonts w:ascii="Lucida Sans Unicode" w:hAnsi="Lucida Sans Unicode" w:cs="Lucida Sans Unicode"/>
          <w:sz w:val="16"/>
          <w:szCs w:val="16"/>
        </w:rPr>
        <w:t>e</w:t>
      </w:r>
      <w:r w:rsidRPr="00B23A96">
        <w:rPr>
          <w:rFonts w:ascii="Lucida Sans Unicode" w:hAnsi="Lucida Sans Unicode" w:cs="Lucida Sans Unicode"/>
          <w:sz w:val="16"/>
          <w:szCs w:val="16"/>
        </w:rPr>
        <w:t xml:space="preserve"> prosesser eller systemer, menneskelig feil eller </w:t>
      </w:r>
      <w:r>
        <w:rPr>
          <w:rFonts w:ascii="Lucida Sans Unicode" w:hAnsi="Lucida Sans Unicode" w:cs="Lucida Sans Unicode"/>
          <w:sz w:val="16"/>
          <w:szCs w:val="16"/>
        </w:rPr>
        <w:t>e</w:t>
      </w:r>
      <w:r w:rsidRPr="00B23A96">
        <w:rPr>
          <w:rFonts w:ascii="Lucida Sans Unicode" w:hAnsi="Lucida Sans Unicode" w:cs="Lucida Sans Unicode"/>
          <w:sz w:val="16"/>
          <w:szCs w:val="16"/>
        </w:rPr>
        <w:t xml:space="preserve">ksterne hendelser, samt </w:t>
      </w:r>
      <w:proofErr w:type="spellStart"/>
      <w:r w:rsidRPr="00B23A96">
        <w:rPr>
          <w:rFonts w:ascii="Lucida Sans Unicode" w:hAnsi="Lucida Sans Unicode" w:cs="Lucida Sans Unicode"/>
          <w:sz w:val="16"/>
          <w:szCs w:val="16"/>
        </w:rPr>
        <w:t>jurisisk</w:t>
      </w:r>
      <w:proofErr w:type="spellEnd"/>
      <w:r w:rsidRPr="00B23A96">
        <w:rPr>
          <w:rFonts w:ascii="Lucida Sans Unicode" w:hAnsi="Lucida Sans Unicode" w:cs="Lucida Sans Unicode"/>
          <w:sz w:val="16"/>
          <w:szCs w:val="16"/>
        </w:rPr>
        <w:t xml:space="preserve"> risiko.  Denne type risiko og tapskilder ligger i den løpende drift av banken.  Banken har utarbeidet policyer,</w:t>
      </w:r>
      <w:r>
        <w:rPr>
          <w:rFonts w:ascii="Lucida Sans Unicode" w:hAnsi="Lucida Sans Unicode" w:cs="Lucida Sans Unicode"/>
          <w:sz w:val="16"/>
          <w:szCs w:val="16"/>
        </w:rPr>
        <w:t xml:space="preserve"> rut</w:t>
      </w:r>
      <w:r w:rsidRPr="00B23A96">
        <w:rPr>
          <w:rFonts w:ascii="Lucida Sans Unicode" w:hAnsi="Lucida Sans Unicode" w:cs="Lucida Sans Unicode"/>
          <w:sz w:val="16"/>
          <w:szCs w:val="16"/>
        </w:rPr>
        <w:t>inebeskrivelser, fullmaktstrukturer med videre som sammen med veldefinerte og klare ansvarsforhold er tiltak som reduserer den operasjonelle risikoen.  Det er videre tegnet hensiktsmessige forsikrings</w:t>
      </w:r>
      <w:r>
        <w:rPr>
          <w:rFonts w:ascii="Lucida Sans Unicode" w:hAnsi="Lucida Sans Unicode" w:cs="Lucida Sans Unicode"/>
          <w:sz w:val="16"/>
          <w:szCs w:val="16"/>
        </w:rPr>
        <w:t>o</w:t>
      </w:r>
      <w:r w:rsidRPr="00B23A96">
        <w:rPr>
          <w:rFonts w:ascii="Lucida Sans Unicode" w:hAnsi="Lucida Sans Unicode" w:cs="Lucida Sans Unicode"/>
          <w:sz w:val="16"/>
          <w:szCs w:val="16"/>
        </w:rPr>
        <w:t>rdninger, samt utarbeidet relevante beredskapsplaner for å håndtere krisesituasjoner.  Overvåking skjer ved kontroll av eksponering i forhold til vedtatte rammer og kontroll av krav.</w:t>
      </w:r>
    </w:p>
    <w:p w14:paraId="4489209D" w14:textId="77777777" w:rsidR="00D63248" w:rsidRPr="00561103" w:rsidRDefault="00D63248" w:rsidP="00D63248">
      <w:pPr>
        <w:rPr>
          <w:sz w:val="16"/>
          <w:szCs w:val="16"/>
        </w:rPr>
      </w:pPr>
      <w:r w:rsidRPr="00561103">
        <w:rPr>
          <w:sz w:val="16"/>
          <w:szCs w:val="16"/>
        </w:rPr>
        <w:t>Banken bruker deler av internkontrollbekreftelsen for å identifisere og vurdere risikoer for at banken ikke når sine mål.  Banken har styregodkjente retningslinjer for ansattes identifisering og rapportering av operasjonelle tapshendelser.</w:t>
      </w:r>
    </w:p>
    <w:p w14:paraId="5BB4FE07" w14:textId="77777777" w:rsidR="00D63248" w:rsidRDefault="00D63248" w:rsidP="00D63248">
      <w:pPr>
        <w:pStyle w:val="Overskrift3"/>
      </w:pPr>
      <w:bookmarkStart w:id="58" w:name="_Toc2665161"/>
      <w:r>
        <w:t>7.4.5</w:t>
      </w:r>
      <w:r>
        <w:tab/>
        <w:t>Omdømmerisiko</w:t>
      </w:r>
      <w:bookmarkEnd w:id="58"/>
    </w:p>
    <w:p w14:paraId="498227F6" w14:textId="77777777" w:rsidR="00D63248" w:rsidRPr="00B036AA" w:rsidRDefault="00D63248" w:rsidP="00D63248">
      <w:pPr>
        <w:rPr>
          <w:rFonts w:ascii="Lucida Sans Unicode" w:hAnsi="Lucida Sans Unicode" w:cs="Lucida Sans Unicode"/>
          <w:szCs w:val="18"/>
        </w:rPr>
      </w:pPr>
      <w:r w:rsidRPr="00B036AA">
        <w:rPr>
          <w:rFonts w:ascii="Lucida Sans Unicode" w:hAnsi="Lucida Sans Unicode" w:cs="Lucida Sans Unicode"/>
          <w:szCs w:val="18"/>
        </w:rPr>
        <w:t>Banken bruker deler av internkontrollbekreftelsen for å identifisere og vurdere risikoer for at banken ikke når sine mål.  Banken har styregodkjente retningslinjer for ansattes identifisering og rapportering av operasjonelle tapshendelser.</w:t>
      </w:r>
    </w:p>
    <w:p w14:paraId="2143E4E8" w14:textId="77777777" w:rsidR="00D63248" w:rsidRPr="00B036AA" w:rsidRDefault="00D63248" w:rsidP="00D63248">
      <w:pPr>
        <w:rPr>
          <w:rFonts w:ascii="Lucida Sans Unicode" w:hAnsi="Lucida Sans Unicode" w:cs="Lucida Sans Unicode"/>
          <w:szCs w:val="18"/>
        </w:rPr>
      </w:pPr>
      <w:r w:rsidRPr="00B036AA">
        <w:rPr>
          <w:rFonts w:ascii="Lucida Sans Unicode" w:hAnsi="Lucida Sans Unicode" w:cs="Lucida Sans Unicode"/>
          <w:szCs w:val="18"/>
        </w:rPr>
        <w:t>Omdømmerisiko defineres som risiko for svikt i inntjening og kapitaltilgang på grunn av sviktende tillit og omdøm</w:t>
      </w:r>
      <w:r w:rsidRPr="00B036AA">
        <w:rPr>
          <w:rFonts w:ascii="Lucida Sans Unicode" w:hAnsi="Lucida Sans Unicode" w:cs="Lucida Sans Unicode"/>
          <w:szCs w:val="18"/>
        </w:rPr>
        <w:softHyphen/>
        <w:t xml:space="preserve">me i markedet, </w:t>
      </w:r>
      <w:proofErr w:type="spellStart"/>
      <w:r w:rsidRPr="00B036AA">
        <w:rPr>
          <w:rFonts w:ascii="Lucida Sans Unicode" w:hAnsi="Lucida Sans Unicode" w:cs="Lucida Sans Unicode"/>
          <w:szCs w:val="18"/>
        </w:rPr>
        <w:t>dvs</w:t>
      </w:r>
      <w:proofErr w:type="spellEnd"/>
      <w:r w:rsidRPr="00B036AA">
        <w:rPr>
          <w:rFonts w:ascii="Lucida Sans Unicode" w:hAnsi="Lucida Sans Unicode" w:cs="Lucida Sans Unicode"/>
          <w:szCs w:val="18"/>
        </w:rPr>
        <w:t xml:space="preserve"> hos kunder, motparter, eiere og myndigheter.  Bankvirksomhet er avhengig av </w:t>
      </w:r>
      <w:r w:rsidRPr="00B036AA">
        <w:rPr>
          <w:rFonts w:ascii="Lucida Sans Unicode" w:hAnsi="Lucida Sans Unicode" w:cs="Lucida Sans Unicode"/>
          <w:szCs w:val="18"/>
        </w:rPr>
        <w:lastRenderedPageBreak/>
        <w:t>tillit, både i markedet og i forhold til regulatoriske myndigheter.  Hendelser som er negative for bankens omdømme kan skade likviditet og forretningsmuligheter.</w:t>
      </w:r>
    </w:p>
    <w:p w14:paraId="44B15845" w14:textId="77777777" w:rsidR="00D63248" w:rsidRDefault="00D63248" w:rsidP="00D63248">
      <w:pPr>
        <w:pStyle w:val="Overskrift3"/>
      </w:pPr>
      <w:bookmarkStart w:id="59" w:name="_Toc2665162"/>
      <w:r>
        <w:t>7.4.6</w:t>
      </w:r>
      <w:r>
        <w:tab/>
        <w:t>Eiendomsprisrisiko</w:t>
      </w:r>
      <w:bookmarkEnd w:id="59"/>
    </w:p>
    <w:p w14:paraId="62942D8D" w14:textId="77777777" w:rsidR="00D63248" w:rsidRDefault="00D63248" w:rsidP="00D63248">
      <w:r>
        <w:t>Eiendomsprisrisiko er risiko for uventet verdifall på bankens eiendommer eller i porteføljer av eiendomsinvesteringer.  Eiendomsprisrisiko i forbindelse med utlån til, eller utlån med sikkerhet i, eiendomssektoren dekkes under kredittrisiko.</w:t>
      </w:r>
    </w:p>
    <w:p w14:paraId="69A455EF" w14:textId="77777777" w:rsidR="00D63248" w:rsidRDefault="00D63248" w:rsidP="00D63248">
      <w:r>
        <w:t>Bankens eiendomsprisrisiko vurderes som begrenset.</w:t>
      </w:r>
    </w:p>
    <w:p w14:paraId="60819840" w14:textId="77777777" w:rsidR="00D63248" w:rsidRDefault="00D63248" w:rsidP="00D63248">
      <w:pPr>
        <w:pStyle w:val="Overskrift3"/>
      </w:pPr>
      <w:bookmarkStart w:id="60" w:name="_Toc2665163"/>
      <w:r>
        <w:t>7.4.7</w:t>
      </w:r>
      <w:r>
        <w:tab/>
        <w:t>Forretningsmessig risiko</w:t>
      </w:r>
      <w:bookmarkEnd w:id="60"/>
    </w:p>
    <w:p w14:paraId="66BAB4B3" w14:textId="77777777" w:rsidR="00D63248" w:rsidRDefault="00D63248" w:rsidP="00D63248">
      <w:r>
        <w:t xml:space="preserve">Forretningsmessig risiko er risikoen for uventede inntektssvingninger fra andre forhold enn kredittrisiko, markedsrisiko og operasjonell risiko.  Risikoen kan opptre i ulike forretnings- og/eller produktsegmenter og være knyttet til </w:t>
      </w:r>
      <w:proofErr w:type="spellStart"/>
      <w:r>
        <w:t>konjuktursvingninger</w:t>
      </w:r>
      <w:proofErr w:type="spellEnd"/>
      <w:r>
        <w:t>, endret kundeadferd og endret konkurransesituasjon.</w:t>
      </w:r>
    </w:p>
    <w:p w14:paraId="23B334FC" w14:textId="77777777" w:rsidR="00D63248" w:rsidRDefault="00D63248" w:rsidP="00D63248">
      <w:r>
        <w:t>Styrets vurderer risikoen årlig, og forutsetter at banken kan dekke inn denne typen endringer i rammebetingelser gjennom ordinære endringer i driften.</w:t>
      </w:r>
    </w:p>
    <w:p w14:paraId="2D0467FD" w14:textId="77777777" w:rsidR="00D63248" w:rsidRDefault="00D63248" w:rsidP="00D63248">
      <w:pPr>
        <w:pStyle w:val="Overskrift3"/>
      </w:pPr>
      <w:bookmarkStart w:id="61" w:name="_Toc2665164"/>
      <w:r>
        <w:t>7.4.8</w:t>
      </w:r>
      <w:r>
        <w:tab/>
        <w:t>Strategisk risiko</w:t>
      </w:r>
      <w:bookmarkEnd w:id="61"/>
    </w:p>
    <w:p w14:paraId="1D16107B" w14:textId="77777777" w:rsidR="00D63248" w:rsidRDefault="00D63248" w:rsidP="00D63248">
      <w:r>
        <w:t>Strategisk risiko er risiko for uventede tap eller sviktende inntjening knyttet til strategiske valg som vekstambisjoner, inntreden i nye markeder eller oppkjøp.  Dette aktualiserer behovet for å se fremover og sikre seg nødvendig kapital i forbindelse med igangsatte og planlagte aktiviteter.</w:t>
      </w:r>
    </w:p>
    <w:p w14:paraId="728301AB" w14:textId="77777777" w:rsidR="00D63248" w:rsidRDefault="00D63248" w:rsidP="00D63248">
      <w:r>
        <w:t>Nødvendige strategiske endringer på grunn av endrede rammebetingelser, herunder strengere myndighetsregulering (</w:t>
      </w:r>
      <w:proofErr w:type="spellStart"/>
      <w:r>
        <w:t>f.eks</w:t>
      </w:r>
      <w:proofErr w:type="spellEnd"/>
      <w:r>
        <w:t xml:space="preserve"> Finanstilsynet og Datatilsynet), overvåkes gjennom strategiprosessen og følges nøye opp av banken.</w:t>
      </w:r>
    </w:p>
    <w:p w14:paraId="26E3E5CC" w14:textId="77777777" w:rsidR="00D63248" w:rsidRDefault="00D63248" w:rsidP="00D63248">
      <w:pPr>
        <w:pStyle w:val="Overskrift3"/>
      </w:pPr>
      <w:bookmarkStart w:id="62" w:name="_Toc2665165"/>
      <w:r>
        <w:t>7.4.9</w:t>
      </w:r>
      <w:r>
        <w:tab/>
        <w:t>Systemrisiko</w:t>
      </w:r>
      <w:bookmarkEnd w:id="62"/>
    </w:p>
    <w:p w14:paraId="0FF39383" w14:textId="77777777" w:rsidR="00D63248" w:rsidRDefault="00D63248" w:rsidP="00D63248">
      <w:r>
        <w:t>Systemrisiko kan oppstå som følge av at det oppstår problemer hos andre banker, som igjen kan smitte over på Selbu Sparebank.</w:t>
      </w:r>
    </w:p>
    <w:p w14:paraId="0E6EB83F" w14:textId="77777777" w:rsidR="00D63248" w:rsidRPr="00B23A96" w:rsidRDefault="00D63248" w:rsidP="00D63248">
      <w:proofErr w:type="spellStart"/>
      <w:r>
        <w:t>F.eks</w:t>
      </w:r>
      <w:proofErr w:type="spellEnd"/>
      <w:r>
        <w:t xml:space="preserve"> kan det bli vanskelig å skaffe ny </w:t>
      </w:r>
      <w:proofErr w:type="spellStart"/>
      <w:r>
        <w:t>funding</w:t>
      </w:r>
      <w:proofErr w:type="spellEnd"/>
      <w:r>
        <w:t xml:space="preserve"> på normale vilkår eller DNB kan bli ute av stand til å utføre sine oppgaver som oppgjørsbank.  Selbu Sparebank forsøker, etter beste evne, å redusere systemrisikoen så sant det er mulig.  Angående </w:t>
      </w:r>
      <w:proofErr w:type="spellStart"/>
      <w:r>
        <w:t>funding</w:t>
      </w:r>
      <w:proofErr w:type="spellEnd"/>
      <w:r>
        <w:t xml:space="preserve"> benytter banken bevisst flere ulike meglermiljø ved innhenting av ny </w:t>
      </w:r>
      <w:proofErr w:type="spellStart"/>
      <w:r>
        <w:t>funding</w:t>
      </w:r>
      <w:proofErr w:type="spellEnd"/>
      <w:r>
        <w:t>.  Det er også inngått beredskapsavtale med Norges Bank som alternativ oppgjørsbank i tilfelle problemer hos DNB:</w:t>
      </w:r>
    </w:p>
    <w:p w14:paraId="130F8FC1" w14:textId="2A3A0323" w:rsidR="00835770" w:rsidRDefault="00835770" w:rsidP="001126C0">
      <w:pPr>
        <w:pStyle w:val="Overskrift2"/>
        <w:numPr>
          <w:ilvl w:val="0"/>
          <w:numId w:val="6"/>
        </w:numPr>
      </w:pPr>
      <w:bookmarkStart w:id="63" w:name="_Toc62640340"/>
      <w:r w:rsidRPr="003075E6">
        <w:lastRenderedPageBreak/>
        <w:t>Standardiserte skjemaer for offentliggjøring av opplysninger om ansvarlig kapital</w:t>
      </w:r>
      <w:bookmarkEnd w:id="63"/>
    </w:p>
    <w:p w14:paraId="130F8FC7" w14:textId="786D8162" w:rsidR="00DD0EEA" w:rsidRDefault="00AF5968" w:rsidP="007B0BCD">
      <w:pPr>
        <w:jc w:val="center"/>
      </w:pPr>
      <w:r w:rsidRPr="00AF5968">
        <w:drawing>
          <wp:inline distT="0" distB="0" distL="0" distR="0" wp14:anchorId="47C815F4" wp14:editId="2CF30570">
            <wp:extent cx="5505450" cy="7241399"/>
            <wp:effectExtent l="0" t="0" r="0" b="0"/>
            <wp:docPr id="79" name="Bil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31966" cy="7276275"/>
                    </a:xfrm>
                    <a:prstGeom prst="rect">
                      <a:avLst/>
                    </a:prstGeom>
                    <a:noFill/>
                    <a:ln>
                      <a:noFill/>
                    </a:ln>
                  </pic:spPr>
                </pic:pic>
              </a:graphicData>
            </a:graphic>
          </wp:inline>
        </w:drawing>
      </w:r>
    </w:p>
    <w:p w14:paraId="130F8FCD" w14:textId="77777777" w:rsidR="00835770" w:rsidRPr="00835770" w:rsidRDefault="00835770" w:rsidP="00835770"/>
    <w:sectPr w:rsidR="00835770" w:rsidRPr="00835770" w:rsidSect="00301161">
      <w:pgSz w:w="11906" w:h="16838"/>
      <w:pgMar w:top="2665" w:right="1134" w:bottom="1304"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F8FF6" w14:textId="77777777" w:rsidR="00CE66E2" w:rsidRDefault="00CE66E2" w:rsidP="004120CD">
      <w:pPr>
        <w:spacing w:after="0" w:line="240" w:lineRule="auto"/>
      </w:pPr>
      <w:r>
        <w:separator/>
      </w:r>
    </w:p>
  </w:endnote>
  <w:endnote w:type="continuationSeparator" w:id="0">
    <w:p w14:paraId="130F8FF7" w14:textId="77777777" w:rsidR="00CE66E2" w:rsidRDefault="00CE66E2" w:rsidP="0041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w:panose1 w:val="020B0602040502020204"/>
    <w:charset w:val="00"/>
    <w:family w:val="swiss"/>
    <w:pitch w:val="variable"/>
    <w:sig w:usb0="8100AAF7" w:usb1="0000807B"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8FF9" w14:textId="77777777" w:rsidR="008D6C1A" w:rsidRDefault="008D6C1A" w:rsidP="008D6C1A">
    <w:pPr>
      <w:pStyle w:val="Dokumentinfo"/>
      <w:tabs>
        <w:tab w:val="right" w:pos="714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leftFromText="142" w:rightFromText="142" w:vertAnchor="page" w:horzAnchor="page" w:tblpX="1135" w:tblpY="16104"/>
      <w:tblOverlap w:val="never"/>
      <w:tblW w:w="9639" w:type="dxa"/>
      <w:tblBorders>
        <w:top w:val="single" w:sz="4" w:space="0" w:color="84BD00"/>
      </w:tblBorders>
      <w:tblCellMar>
        <w:top w:w="113" w:type="dxa"/>
      </w:tblCellMar>
      <w:tblLook w:val="04A0" w:firstRow="1" w:lastRow="0" w:firstColumn="1" w:lastColumn="0" w:noHBand="0" w:noVBand="1"/>
    </w:tblPr>
    <w:tblGrid>
      <w:gridCol w:w="9639"/>
    </w:tblGrid>
    <w:tr w:rsidR="00C04BE4" w14:paraId="130F9001" w14:textId="77777777" w:rsidTr="007F141A">
      <w:tc>
        <w:tcPr>
          <w:tcW w:w="7312" w:type="dxa"/>
        </w:tcPr>
        <w:p w14:paraId="130F9000" w14:textId="017E5CE3" w:rsidR="00C04BE4" w:rsidRDefault="00301161" w:rsidP="00F01704">
          <w:pPr>
            <w:pStyle w:val="Bunntekst"/>
            <w:tabs>
              <w:tab w:val="clear" w:pos="4536"/>
              <w:tab w:val="clear" w:pos="9072"/>
              <w:tab w:val="right" w:pos="9639"/>
            </w:tabs>
          </w:pPr>
          <w:r w:rsidRPr="003075E6">
            <w:rPr>
              <w:bCs/>
            </w:rPr>
            <w:t>Informasjon i samsvar med kravene i</w:t>
          </w:r>
          <w:r w:rsidR="001245E6">
            <w:rPr>
              <w:bCs/>
            </w:rPr>
            <w:t xml:space="preserve"> CRR/CRD IV-</w:t>
          </w:r>
          <w:r w:rsidRPr="003075E6">
            <w:rPr>
              <w:bCs/>
            </w:rPr>
            <w:t>forskriften del X</w:t>
          </w:r>
          <w:r w:rsidR="00B8301A">
            <w:rPr>
              <w:bCs/>
            </w:rPr>
            <w:t>I</w:t>
          </w:r>
          <w:r w:rsidRPr="003075E6">
            <w:rPr>
              <w:bCs/>
            </w:rPr>
            <w:t xml:space="preserve"> </w:t>
          </w:r>
          <w:r w:rsidR="00F01704">
            <w:rPr>
              <w:noProof/>
            </w:rPr>
            <w:tab/>
          </w:r>
          <w:r w:rsidR="005A60AF">
            <w:t>Side</w:t>
          </w:r>
          <w:r w:rsidR="00C04BE4">
            <w:t xml:space="preserve"> </w:t>
          </w:r>
          <w:r w:rsidR="00C04BE4">
            <w:fldChar w:fldCharType="begin"/>
          </w:r>
          <w:r w:rsidR="00C04BE4">
            <w:instrText xml:space="preserve"> PAGE   \* MERGEFORMAT </w:instrText>
          </w:r>
          <w:r w:rsidR="00C04BE4">
            <w:fldChar w:fldCharType="separate"/>
          </w:r>
          <w:r w:rsidR="00B02218">
            <w:rPr>
              <w:noProof/>
            </w:rPr>
            <w:t>20</w:t>
          </w:r>
          <w:r w:rsidR="00C04BE4">
            <w:fldChar w:fldCharType="end"/>
          </w:r>
        </w:p>
      </w:tc>
    </w:tr>
  </w:tbl>
  <w:p w14:paraId="130F9002" w14:textId="77777777" w:rsidR="00C04BE4" w:rsidRDefault="00C04BE4" w:rsidP="008D6C1A">
    <w:pPr>
      <w:pStyle w:val="Dokumentinfo"/>
      <w:tabs>
        <w:tab w:val="right" w:pos="714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leftFromText="142" w:rightFromText="142" w:vertAnchor="page" w:horzAnchor="page" w:tblpX="1135" w:tblpY="16104"/>
      <w:tblOverlap w:val="never"/>
      <w:tblW w:w="9639" w:type="dxa"/>
      <w:tblBorders>
        <w:top w:val="single" w:sz="4" w:space="0" w:color="84BD00"/>
      </w:tblBorders>
      <w:tblCellMar>
        <w:top w:w="113" w:type="dxa"/>
      </w:tblCellMar>
      <w:tblLook w:val="04A0" w:firstRow="1" w:lastRow="0" w:firstColumn="1" w:lastColumn="0" w:noHBand="0" w:noVBand="1"/>
    </w:tblPr>
    <w:tblGrid>
      <w:gridCol w:w="9639"/>
    </w:tblGrid>
    <w:tr w:rsidR="00FD1C3D" w14:paraId="130F9009" w14:textId="77777777" w:rsidTr="00AF77B2">
      <w:tc>
        <w:tcPr>
          <w:tcW w:w="7312" w:type="dxa"/>
        </w:tcPr>
        <w:p w14:paraId="130F9008" w14:textId="780E1492" w:rsidR="00FD1C3D" w:rsidRDefault="00301161" w:rsidP="00F01704">
          <w:pPr>
            <w:pStyle w:val="Bunntekst"/>
            <w:tabs>
              <w:tab w:val="clear" w:pos="4536"/>
              <w:tab w:val="clear" w:pos="9072"/>
              <w:tab w:val="right" w:pos="9639"/>
            </w:tabs>
          </w:pPr>
          <w:r w:rsidRPr="003075E6">
            <w:rPr>
              <w:bCs/>
            </w:rPr>
            <w:t xml:space="preserve">Informasjon i samsvar med kravene i </w:t>
          </w:r>
          <w:r w:rsidR="00B8301A" w:rsidRPr="00B8301A">
            <w:rPr>
              <w:bCs/>
            </w:rPr>
            <w:t xml:space="preserve">CRR/CRD IV-forskriften del XI </w:t>
          </w:r>
          <w:r w:rsidR="00F01704">
            <w:rPr>
              <w:noProof/>
            </w:rPr>
            <w:tab/>
          </w:r>
          <w:r w:rsidR="005D25B4">
            <w:t>Side</w:t>
          </w:r>
          <w:r w:rsidR="00AF77B2">
            <w:t xml:space="preserve"> </w:t>
          </w:r>
          <w:r w:rsidR="00AF77B2">
            <w:fldChar w:fldCharType="begin"/>
          </w:r>
          <w:r w:rsidR="00AF77B2">
            <w:instrText xml:space="preserve"> PAGE   \* MERGEFORMAT </w:instrText>
          </w:r>
          <w:r w:rsidR="00AF77B2">
            <w:fldChar w:fldCharType="separate"/>
          </w:r>
          <w:r w:rsidR="00B02218">
            <w:rPr>
              <w:noProof/>
            </w:rPr>
            <w:t>1</w:t>
          </w:r>
          <w:r w:rsidR="00AF77B2">
            <w:fldChar w:fldCharType="end"/>
          </w:r>
        </w:p>
      </w:tc>
    </w:tr>
  </w:tbl>
  <w:p w14:paraId="130F900A" w14:textId="77777777" w:rsidR="00CD42FC" w:rsidRDefault="00CD42FC" w:rsidP="00F01704">
    <w:pPr>
      <w:pStyle w:val="Bunntekst"/>
      <w:tabs>
        <w:tab w:val="clear" w:pos="4536"/>
        <w:tab w:val="right" w:pos="71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F8FF4" w14:textId="77777777" w:rsidR="00CE66E2" w:rsidRDefault="00CE66E2" w:rsidP="004120CD">
      <w:pPr>
        <w:spacing w:after="0" w:line="240" w:lineRule="auto"/>
      </w:pPr>
      <w:r>
        <w:separator/>
      </w:r>
    </w:p>
  </w:footnote>
  <w:footnote w:type="continuationSeparator" w:id="0">
    <w:p w14:paraId="130F8FF5" w14:textId="77777777" w:rsidR="00CE66E2" w:rsidRDefault="00CE66E2" w:rsidP="0041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8FF8" w14:textId="77777777" w:rsidR="00F272D2" w:rsidRPr="00367A94" w:rsidRDefault="00F272D2">
    <w:pPr>
      <w:pStyle w:val="Topptekst"/>
      <w:rPr>
        <w:rFonts w:cstheme="minorHAnsi"/>
      </w:rPr>
    </w:pPr>
    <w:r w:rsidRPr="00367A94">
      <w:rPr>
        <w:rFonts w:cstheme="minorHAnsi"/>
        <w:noProof/>
        <w:lang w:eastAsia="nb-NO"/>
      </w:rPr>
      <w:drawing>
        <wp:anchor distT="0" distB="0" distL="114300" distR="114300" simplePos="0" relativeHeight="251659264" behindDoc="1" locked="0" layoutInCell="1" allowOverlap="1" wp14:anchorId="130F900B" wp14:editId="130F900C">
          <wp:simplePos x="0" y="0"/>
          <wp:positionH relativeFrom="page">
            <wp:posOffset>5646420</wp:posOffset>
          </wp:positionH>
          <wp:positionV relativeFrom="page">
            <wp:posOffset>0</wp:posOffset>
          </wp:positionV>
          <wp:extent cx="1914144" cy="1048512"/>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4144" cy="10485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F8FFA" w14:textId="77777777" w:rsidR="00797056" w:rsidRDefault="00DF6496">
    <w:pPr>
      <w:pStyle w:val="Topptekst"/>
    </w:pPr>
    <w:r>
      <w:rPr>
        <w:noProof/>
        <w:lang w:eastAsia="nb-NO"/>
      </w:rPr>
      <w:drawing>
        <wp:anchor distT="0" distB="0" distL="114300" distR="114300" simplePos="0" relativeHeight="251661312" behindDoc="0" locked="0" layoutInCell="1" allowOverlap="1" wp14:anchorId="130F900D" wp14:editId="130F900E">
          <wp:simplePos x="0" y="0"/>
          <wp:positionH relativeFrom="column">
            <wp:posOffset>5180448</wp:posOffset>
          </wp:positionH>
          <wp:positionV relativeFrom="paragraph">
            <wp:posOffset>-221615</wp:posOffset>
          </wp:positionV>
          <wp:extent cx="882502" cy="786810"/>
          <wp:effectExtent l="0" t="0" r="0" b="0"/>
          <wp:wrapNone/>
          <wp:docPr id="86" name="Bil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74255"/>
                  <a:stretch/>
                </pic:blipFill>
                <pic:spPr bwMode="auto">
                  <a:xfrm>
                    <a:off x="0" y="0"/>
                    <a:ext cx="882502" cy="786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leftFromText="142" w:rightFromText="142" w:vertAnchor="page" w:horzAnchor="page" w:tblpX="1135" w:tblpY="568"/>
      <w:tblOverlap w:val="never"/>
      <w:tblW w:w="0" w:type="auto"/>
      <w:tblLook w:val="04A0" w:firstRow="1" w:lastRow="0" w:firstColumn="1" w:lastColumn="0" w:noHBand="0" w:noVBand="1"/>
    </w:tblPr>
    <w:tblGrid>
      <w:gridCol w:w="2466"/>
      <w:gridCol w:w="4851"/>
    </w:tblGrid>
    <w:tr w:rsidR="002B3D7D" w:rsidRPr="005D2997" w14:paraId="130F8FFE" w14:textId="77777777" w:rsidTr="00BD2FE9">
      <w:tc>
        <w:tcPr>
          <w:tcW w:w="2466" w:type="dxa"/>
        </w:tcPr>
        <w:p w14:paraId="130F8FFB" w14:textId="77777777" w:rsidR="002B3D7D" w:rsidRDefault="007B0BCD" w:rsidP="00BD2FE9">
          <w:pPr>
            <w:pStyle w:val="Brdtekst"/>
            <w:tabs>
              <w:tab w:val="left" w:pos="2466"/>
            </w:tabs>
            <w:spacing w:after="0"/>
            <w:rPr>
              <w:sz w:val="20"/>
              <w:szCs w:val="20"/>
            </w:rPr>
          </w:pPr>
          <w:sdt>
            <w:sdtPr>
              <w:rPr>
                <w:sz w:val="20"/>
                <w:szCs w:val="20"/>
              </w:rPr>
              <w:alias w:val="Type of document"/>
              <w:tag w:val="Type of document"/>
              <w:id w:val="-1820713775"/>
              <w:dataBinding w:xpath="/root[1]/typeOfDoc[1]" w:storeItemID="{796F441D-F086-4111-BFE0-028A4FBBD963}"/>
              <w:text w:multiLine="1"/>
            </w:sdtPr>
            <w:sdtEndPr/>
            <w:sdtContent>
              <w:r w:rsidR="00301161">
                <w:rPr>
                  <w:sz w:val="20"/>
                  <w:szCs w:val="20"/>
                </w:rPr>
                <w:t>Pilar III</w:t>
              </w:r>
            </w:sdtContent>
          </w:sdt>
          <w:r w:rsidR="002B3D7D">
            <w:rPr>
              <w:sz w:val="20"/>
              <w:szCs w:val="20"/>
            </w:rPr>
            <w:tab/>
          </w:r>
        </w:p>
        <w:p w14:paraId="130F8FFC" w14:textId="6B371A88" w:rsidR="002B3D7D" w:rsidRPr="005D2997" w:rsidRDefault="007B0BCD" w:rsidP="00301161">
          <w:pPr>
            <w:pStyle w:val="Brdtekst"/>
            <w:tabs>
              <w:tab w:val="left" w:pos="2466"/>
            </w:tabs>
            <w:rPr>
              <w:sz w:val="20"/>
              <w:szCs w:val="20"/>
              <w:lang w:val="da-DK"/>
            </w:rPr>
          </w:pPr>
          <w:r>
            <w:rPr>
              <w:sz w:val="20"/>
              <w:szCs w:val="20"/>
              <w:lang w:val="da-DK"/>
            </w:rPr>
            <w:t>Selbu</w:t>
          </w:r>
          <w:r w:rsidR="00301161">
            <w:rPr>
              <w:sz w:val="20"/>
              <w:szCs w:val="20"/>
              <w:lang w:val="da-DK"/>
            </w:rPr>
            <w:t xml:space="preserve"> Sparebank</w:t>
          </w:r>
          <w:r w:rsidR="002B3D7D" w:rsidRPr="005D2997">
            <w:rPr>
              <w:sz w:val="20"/>
              <w:szCs w:val="20"/>
              <w:lang w:val="da-DK"/>
            </w:rPr>
            <w:tab/>
          </w:r>
        </w:p>
      </w:tc>
      <w:tc>
        <w:tcPr>
          <w:tcW w:w="4851" w:type="dxa"/>
        </w:tcPr>
        <w:p w14:paraId="130F8FFD" w14:textId="77777777" w:rsidR="002B3D7D" w:rsidRPr="005D2997" w:rsidRDefault="002B3D7D" w:rsidP="00BD2FE9">
          <w:pPr>
            <w:pStyle w:val="Brdtekst"/>
            <w:tabs>
              <w:tab w:val="left" w:pos="2466"/>
            </w:tabs>
            <w:rPr>
              <w:sz w:val="20"/>
              <w:szCs w:val="20"/>
              <w:lang w:val="da-DK"/>
            </w:rPr>
          </w:pPr>
        </w:p>
      </w:tc>
    </w:tr>
  </w:tbl>
  <w:p w14:paraId="130F8FFF" w14:textId="77777777" w:rsidR="00C04BE4" w:rsidRPr="00367A94" w:rsidRDefault="00C04BE4">
    <w:pPr>
      <w:pStyle w:val="Topptekst"/>
      <w:rPr>
        <w:rFonts w:cs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leftFromText="142" w:rightFromText="142" w:vertAnchor="page" w:horzAnchor="page" w:tblpX="1135" w:tblpY="568"/>
      <w:tblOverlap w:val="never"/>
      <w:tblW w:w="0" w:type="auto"/>
      <w:tblLook w:val="04A0" w:firstRow="1" w:lastRow="0" w:firstColumn="1" w:lastColumn="0" w:noHBand="0" w:noVBand="1"/>
    </w:tblPr>
    <w:tblGrid>
      <w:gridCol w:w="2466"/>
      <w:gridCol w:w="4851"/>
    </w:tblGrid>
    <w:tr w:rsidR="002B3D7D" w:rsidRPr="005D2997" w14:paraId="130F9006" w14:textId="77777777" w:rsidTr="00BD2FE9">
      <w:tc>
        <w:tcPr>
          <w:tcW w:w="2466" w:type="dxa"/>
        </w:tcPr>
        <w:p w14:paraId="130F9003" w14:textId="77777777" w:rsidR="002B3D7D" w:rsidRDefault="007B0BCD" w:rsidP="009A2C26">
          <w:pPr>
            <w:pStyle w:val="Brdtekst"/>
            <w:tabs>
              <w:tab w:val="left" w:pos="2466"/>
            </w:tabs>
            <w:spacing w:after="0"/>
            <w:rPr>
              <w:sz w:val="20"/>
              <w:szCs w:val="20"/>
            </w:rPr>
          </w:pPr>
          <w:sdt>
            <w:sdtPr>
              <w:rPr>
                <w:sz w:val="20"/>
                <w:szCs w:val="20"/>
              </w:rPr>
              <w:alias w:val="Type of document"/>
              <w:tag w:val="Type of document"/>
              <w:id w:val="-858354953"/>
              <w:dataBinding w:xpath="/root[1]/typeOfDoc[1]" w:storeItemID="{796F441D-F086-4111-BFE0-028A4FBBD963}"/>
              <w:text w:multiLine="1"/>
            </w:sdtPr>
            <w:sdtEndPr/>
            <w:sdtContent>
              <w:r w:rsidR="00301161">
                <w:rPr>
                  <w:sz w:val="20"/>
                  <w:szCs w:val="20"/>
                </w:rPr>
                <w:t>Pilar III</w:t>
              </w:r>
            </w:sdtContent>
          </w:sdt>
          <w:r w:rsidR="002B3D7D">
            <w:rPr>
              <w:sz w:val="20"/>
              <w:szCs w:val="20"/>
            </w:rPr>
            <w:tab/>
          </w:r>
        </w:p>
        <w:p w14:paraId="130F9004" w14:textId="4F5DD9D3" w:rsidR="002B3D7D" w:rsidRPr="005D2997" w:rsidRDefault="007B0BCD" w:rsidP="00DD7FCC">
          <w:pPr>
            <w:pStyle w:val="Brdtekst"/>
            <w:tabs>
              <w:tab w:val="left" w:pos="2466"/>
            </w:tabs>
            <w:rPr>
              <w:sz w:val="20"/>
              <w:szCs w:val="20"/>
              <w:lang w:val="da-DK"/>
            </w:rPr>
          </w:pPr>
          <w:sdt>
            <w:sdtPr>
              <w:rPr>
                <w:sz w:val="20"/>
                <w:szCs w:val="20"/>
                <w:lang w:val="da-DK"/>
              </w:rPr>
              <w:alias w:val="Eika Selskapsnavn"/>
              <w:tag w:val="Eika Selskapsnavn"/>
              <w:id w:val="-2001796497"/>
              <w:dataBinding w:xpath="/root[1]/selskapsnavn[1]" w:storeItemID="{796F441D-F086-4111-BFE0-028A4FBBD963}"/>
              <w:text w:multiLine="1"/>
            </w:sdtPr>
            <w:sdtEndPr/>
            <w:sdtContent>
              <w:r>
                <w:rPr>
                  <w:sz w:val="20"/>
                  <w:szCs w:val="20"/>
                  <w:lang w:val="da-DK"/>
                </w:rPr>
                <w:t>Selbu</w:t>
              </w:r>
              <w:r w:rsidR="00301161">
                <w:rPr>
                  <w:sz w:val="20"/>
                  <w:szCs w:val="20"/>
                  <w:lang w:val="da-DK"/>
                </w:rPr>
                <w:t xml:space="preserve"> Sparebank</w:t>
              </w:r>
            </w:sdtContent>
          </w:sdt>
          <w:r w:rsidR="002B3D7D" w:rsidRPr="005D2997">
            <w:rPr>
              <w:sz w:val="20"/>
              <w:szCs w:val="20"/>
              <w:lang w:val="da-DK"/>
            </w:rPr>
            <w:tab/>
          </w:r>
        </w:p>
      </w:tc>
      <w:tc>
        <w:tcPr>
          <w:tcW w:w="4851" w:type="dxa"/>
        </w:tcPr>
        <w:p w14:paraId="130F9005" w14:textId="77777777" w:rsidR="002B3D7D" w:rsidRPr="005D2997" w:rsidRDefault="002B3D7D" w:rsidP="00BD2FE9">
          <w:pPr>
            <w:pStyle w:val="Brdtekst"/>
            <w:tabs>
              <w:tab w:val="left" w:pos="2466"/>
            </w:tabs>
            <w:rPr>
              <w:sz w:val="20"/>
              <w:szCs w:val="20"/>
              <w:lang w:val="da-DK"/>
            </w:rPr>
          </w:pPr>
        </w:p>
      </w:tc>
    </w:tr>
  </w:tbl>
  <w:p w14:paraId="130F9007" w14:textId="77777777" w:rsidR="00CD42FC" w:rsidRDefault="00CD42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1344E02"/>
    <w:lvl w:ilvl="0">
      <w:start w:val="1"/>
      <w:numFmt w:val="bullet"/>
      <w:pStyle w:val="Punktliste2"/>
      <w:lvlText w:val="-"/>
      <w:lvlJc w:val="left"/>
      <w:pPr>
        <w:ind w:left="643" w:hanging="360"/>
      </w:pPr>
      <w:rPr>
        <w:rFonts w:ascii="Calibri" w:hAnsi="Calibri" w:hint="default"/>
      </w:rPr>
    </w:lvl>
  </w:abstractNum>
  <w:abstractNum w:abstractNumId="1" w15:restartNumberingAfterBreak="0">
    <w:nsid w:val="FFFFFF89"/>
    <w:multiLevelType w:val="singleLevel"/>
    <w:tmpl w:val="64C69546"/>
    <w:lvl w:ilvl="0">
      <w:start w:val="1"/>
      <w:numFmt w:val="bullet"/>
      <w:pStyle w:val="Punktliste"/>
      <w:lvlText w:val=""/>
      <w:lvlJc w:val="left"/>
      <w:pPr>
        <w:ind w:left="360" w:hanging="360"/>
      </w:pPr>
      <w:rPr>
        <w:rFonts w:ascii="Wingdings" w:hAnsi="Wingdings" w:hint="default"/>
      </w:rPr>
    </w:lvl>
  </w:abstractNum>
  <w:abstractNum w:abstractNumId="2" w15:restartNumberingAfterBreak="0">
    <w:nsid w:val="06A45E9E"/>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E1142F7"/>
    <w:multiLevelType w:val="hybridMultilevel"/>
    <w:tmpl w:val="E8443706"/>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EBD2867"/>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94B7FBF"/>
    <w:multiLevelType w:val="hybridMultilevel"/>
    <w:tmpl w:val="A24CDB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4174761"/>
    <w:multiLevelType w:val="hybridMultilevel"/>
    <w:tmpl w:val="ED5CA6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CE1038"/>
    <w:multiLevelType w:val="multilevel"/>
    <w:tmpl w:val="D3FCF36A"/>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7A652D"/>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D53791A"/>
    <w:multiLevelType w:val="hybridMultilevel"/>
    <w:tmpl w:val="4570532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18D2B0D"/>
    <w:multiLevelType w:val="hybridMultilevel"/>
    <w:tmpl w:val="75B6440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172765"/>
    <w:multiLevelType w:val="hybridMultilevel"/>
    <w:tmpl w:val="191C9D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7B94AFF"/>
    <w:multiLevelType w:val="hybridMultilevel"/>
    <w:tmpl w:val="9D788D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C3A20A9"/>
    <w:multiLevelType w:val="hybridMultilevel"/>
    <w:tmpl w:val="FEC800CC"/>
    <w:lvl w:ilvl="0" w:tplc="0414000F">
      <w:start w:val="2"/>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E2358C8"/>
    <w:multiLevelType w:val="multilevel"/>
    <w:tmpl w:val="3E162042"/>
    <w:lvl w:ilvl="0">
      <w:start w:val="1"/>
      <w:numFmt w:val="decimal"/>
      <w:lvlText w:val="%1"/>
      <w:lvlJc w:val="left"/>
      <w:pPr>
        <w:ind w:left="1230" w:hanging="1230"/>
      </w:pPr>
      <w:rPr>
        <w:rFonts w:hint="default"/>
      </w:rPr>
    </w:lvl>
    <w:lvl w:ilvl="1">
      <w:start w:val="1"/>
      <w:numFmt w:val="decimal"/>
      <w:lvlText w:val="%1.%2"/>
      <w:lvlJc w:val="left"/>
      <w:pPr>
        <w:ind w:left="1230" w:hanging="1230"/>
      </w:pPr>
      <w:rPr>
        <w:rFonts w:hint="default"/>
      </w:rPr>
    </w:lvl>
    <w:lvl w:ilvl="2">
      <w:start w:val="1"/>
      <w:numFmt w:val="decimal"/>
      <w:lvlText w:val="%1.%2.%3"/>
      <w:lvlJc w:val="left"/>
      <w:pPr>
        <w:ind w:left="1230" w:hanging="1230"/>
      </w:pPr>
      <w:rPr>
        <w:rFonts w:hint="default"/>
      </w:rPr>
    </w:lvl>
    <w:lvl w:ilvl="3">
      <w:start w:val="1"/>
      <w:numFmt w:val="decimal"/>
      <w:lvlText w:val="%4."/>
      <w:lvlJc w:val="left"/>
      <w:pPr>
        <w:ind w:left="6915" w:hanging="360"/>
      </w:pPr>
      <w:rPr>
        <w:rFonts w:hint="default"/>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15" w15:restartNumberingAfterBreak="0">
    <w:nsid w:val="55D05C36"/>
    <w:multiLevelType w:val="hybridMultilevel"/>
    <w:tmpl w:val="9B94139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9178C"/>
    <w:multiLevelType w:val="multilevel"/>
    <w:tmpl w:val="882A503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9D8032D"/>
    <w:multiLevelType w:val="hybridMultilevel"/>
    <w:tmpl w:val="E6501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59E3CC8"/>
    <w:multiLevelType w:val="hybridMultilevel"/>
    <w:tmpl w:val="E87A363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F9A35C7"/>
    <w:multiLevelType w:val="multilevel"/>
    <w:tmpl w:val="882A503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29D3F40"/>
    <w:multiLevelType w:val="multilevel"/>
    <w:tmpl w:val="199CBE5A"/>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765F6E9D"/>
    <w:multiLevelType w:val="hybridMultilevel"/>
    <w:tmpl w:val="B83200A2"/>
    <w:lvl w:ilvl="0" w:tplc="2490F72A">
      <w:start w:val="3"/>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DE93616"/>
    <w:multiLevelType w:val="multilevel"/>
    <w:tmpl w:val="531CBC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4"/>
  </w:num>
  <w:num w:numId="2">
    <w:abstractNumId w:val="1"/>
  </w:num>
  <w:num w:numId="3">
    <w:abstractNumId w:val="0"/>
  </w:num>
  <w:num w:numId="4">
    <w:abstractNumId w:val="11"/>
  </w:num>
  <w:num w:numId="5">
    <w:abstractNumId w:val="5"/>
  </w:num>
  <w:num w:numId="6">
    <w:abstractNumId w:val="4"/>
  </w:num>
  <w:num w:numId="7">
    <w:abstractNumId w:val="3"/>
  </w:num>
  <w:num w:numId="8">
    <w:abstractNumId w:val="20"/>
  </w:num>
  <w:num w:numId="9">
    <w:abstractNumId w:val="17"/>
  </w:num>
  <w:num w:numId="10">
    <w:abstractNumId w:val="12"/>
  </w:num>
  <w:num w:numId="11">
    <w:abstractNumId w:val="22"/>
  </w:num>
  <w:num w:numId="12">
    <w:abstractNumId w:val="2"/>
  </w:num>
  <w:num w:numId="13">
    <w:abstractNumId w:val="10"/>
  </w:num>
  <w:num w:numId="14">
    <w:abstractNumId w:val="21"/>
  </w:num>
  <w:num w:numId="15">
    <w:abstractNumId w:val="7"/>
  </w:num>
  <w:num w:numId="16">
    <w:abstractNumId w:val="19"/>
  </w:num>
  <w:num w:numId="17">
    <w:abstractNumId w:val="16"/>
  </w:num>
  <w:num w:numId="18">
    <w:abstractNumId w:val="8"/>
  </w:num>
  <w:num w:numId="19">
    <w:abstractNumId w:val="13"/>
  </w:num>
  <w:num w:numId="20">
    <w:abstractNumId w:val="18"/>
  </w:num>
  <w:num w:numId="21">
    <w:abstractNumId w:val="9"/>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E2"/>
    <w:rsid w:val="00005863"/>
    <w:rsid w:val="00024146"/>
    <w:rsid w:val="00036879"/>
    <w:rsid w:val="00062BB0"/>
    <w:rsid w:val="00094CC3"/>
    <w:rsid w:val="00096FA8"/>
    <w:rsid w:val="000A1659"/>
    <w:rsid w:val="000B4F71"/>
    <w:rsid w:val="000C0185"/>
    <w:rsid w:val="000C0A51"/>
    <w:rsid w:val="000C4A22"/>
    <w:rsid w:val="000D16D7"/>
    <w:rsid w:val="000D6A2A"/>
    <w:rsid w:val="000E01C4"/>
    <w:rsid w:val="000F5372"/>
    <w:rsid w:val="000F62E3"/>
    <w:rsid w:val="00110791"/>
    <w:rsid w:val="001126C0"/>
    <w:rsid w:val="001245E6"/>
    <w:rsid w:val="00130F1B"/>
    <w:rsid w:val="00146968"/>
    <w:rsid w:val="00160F0D"/>
    <w:rsid w:val="0017594B"/>
    <w:rsid w:val="00177B2F"/>
    <w:rsid w:val="00180DFD"/>
    <w:rsid w:val="0018506A"/>
    <w:rsid w:val="0019287F"/>
    <w:rsid w:val="0019309B"/>
    <w:rsid w:val="001A3AA4"/>
    <w:rsid w:val="001B444D"/>
    <w:rsid w:val="001C56DF"/>
    <w:rsid w:val="001D039F"/>
    <w:rsid w:val="00202CE4"/>
    <w:rsid w:val="00207CFC"/>
    <w:rsid w:val="00231848"/>
    <w:rsid w:val="00251F90"/>
    <w:rsid w:val="00252ABB"/>
    <w:rsid w:val="002567F8"/>
    <w:rsid w:val="002629B2"/>
    <w:rsid w:val="00281E47"/>
    <w:rsid w:val="00284ABA"/>
    <w:rsid w:val="00297FFD"/>
    <w:rsid w:val="002A5F00"/>
    <w:rsid w:val="002B08D9"/>
    <w:rsid w:val="002B3D7D"/>
    <w:rsid w:val="002B795B"/>
    <w:rsid w:val="002C7201"/>
    <w:rsid w:val="002D65CF"/>
    <w:rsid w:val="002E7313"/>
    <w:rsid w:val="002F6F5A"/>
    <w:rsid w:val="00301161"/>
    <w:rsid w:val="00301F20"/>
    <w:rsid w:val="003059D1"/>
    <w:rsid w:val="00316115"/>
    <w:rsid w:val="00320B15"/>
    <w:rsid w:val="00355A52"/>
    <w:rsid w:val="00363D2F"/>
    <w:rsid w:val="00367A94"/>
    <w:rsid w:val="003863FD"/>
    <w:rsid w:val="0038776B"/>
    <w:rsid w:val="00396CDB"/>
    <w:rsid w:val="003A0B57"/>
    <w:rsid w:val="003B038E"/>
    <w:rsid w:val="003C7B16"/>
    <w:rsid w:val="003C7E34"/>
    <w:rsid w:val="003D6E12"/>
    <w:rsid w:val="003E4889"/>
    <w:rsid w:val="003F12AE"/>
    <w:rsid w:val="003F6023"/>
    <w:rsid w:val="00403B1D"/>
    <w:rsid w:val="004120CD"/>
    <w:rsid w:val="00413970"/>
    <w:rsid w:val="00455BB2"/>
    <w:rsid w:val="004A5BA6"/>
    <w:rsid w:val="004B6D1B"/>
    <w:rsid w:val="004C30BA"/>
    <w:rsid w:val="004D2D11"/>
    <w:rsid w:val="004E3B01"/>
    <w:rsid w:val="004F365D"/>
    <w:rsid w:val="00500629"/>
    <w:rsid w:val="00501EA9"/>
    <w:rsid w:val="00503C6B"/>
    <w:rsid w:val="00504BED"/>
    <w:rsid w:val="00527CB8"/>
    <w:rsid w:val="005357BA"/>
    <w:rsid w:val="00541D39"/>
    <w:rsid w:val="00561103"/>
    <w:rsid w:val="005625CF"/>
    <w:rsid w:val="00563AAF"/>
    <w:rsid w:val="005704E5"/>
    <w:rsid w:val="0057707D"/>
    <w:rsid w:val="00584045"/>
    <w:rsid w:val="005A46B1"/>
    <w:rsid w:val="005A5AF9"/>
    <w:rsid w:val="005A60AF"/>
    <w:rsid w:val="005B56C3"/>
    <w:rsid w:val="005B6958"/>
    <w:rsid w:val="005D0FB5"/>
    <w:rsid w:val="005D25B4"/>
    <w:rsid w:val="005D2997"/>
    <w:rsid w:val="005D45A4"/>
    <w:rsid w:val="005E75FC"/>
    <w:rsid w:val="005F2F69"/>
    <w:rsid w:val="0060399F"/>
    <w:rsid w:val="00616B8C"/>
    <w:rsid w:val="006276E0"/>
    <w:rsid w:val="00627974"/>
    <w:rsid w:val="00636A90"/>
    <w:rsid w:val="006375D4"/>
    <w:rsid w:val="006578E5"/>
    <w:rsid w:val="006626B1"/>
    <w:rsid w:val="00664004"/>
    <w:rsid w:val="006750C4"/>
    <w:rsid w:val="00697BB7"/>
    <w:rsid w:val="006C42C1"/>
    <w:rsid w:val="006C4F6D"/>
    <w:rsid w:val="006C6890"/>
    <w:rsid w:val="006D35B2"/>
    <w:rsid w:val="006E161D"/>
    <w:rsid w:val="006E6C18"/>
    <w:rsid w:val="006E7B1D"/>
    <w:rsid w:val="006F14AC"/>
    <w:rsid w:val="007118DB"/>
    <w:rsid w:val="007121CB"/>
    <w:rsid w:val="00730384"/>
    <w:rsid w:val="00751C75"/>
    <w:rsid w:val="00772F8B"/>
    <w:rsid w:val="0077658D"/>
    <w:rsid w:val="0078575F"/>
    <w:rsid w:val="00797056"/>
    <w:rsid w:val="007B0BCD"/>
    <w:rsid w:val="007B637C"/>
    <w:rsid w:val="007B71E8"/>
    <w:rsid w:val="007C7926"/>
    <w:rsid w:val="007F79BF"/>
    <w:rsid w:val="00822B78"/>
    <w:rsid w:val="0083132A"/>
    <w:rsid w:val="00835770"/>
    <w:rsid w:val="00835F62"/>
    <w:rsid w:val="00844869"/>
    <w:rsid w:val="008473BA"/>
    <w:rsid w:val="0086218E"/>
    <w:rsid w:val="0087418B"/>
    <w:rsid w:val="0087792D"/>
    <w:rsid w:val="008840B2"/>
    <w:rsid w:val="00896812"/>
    <w:rsid w:val="008A0E32"/>
    <w:rsid w:val="008D1C31"/>
    <w:rsid w:val="008D6C1A"/>
    <w:rsid w:val="008F6520"/>
    <w:rsid w:val="00903E40"/>
    <w:rsid w:val="009042E8"/>
    <w:rsid w:val="00906526"/>
    <w:rsid w:val="00913D59"/>
    <w:rsid w:val="009151D8"/>
    <w:rsid w:val="00921B9A"/>
    <w:rsid w:val="00927803"/>
    <w:rsid w:val="00932F91"/>
    <w:rsid w:val="00933244"/>
    <w:rsid w:val="00942983"/>
    <w:rsid w:val="00953498"/>
    <w:rsid w:val="00962886"/>
    <w:rsid w:val="009747A0"/>
    <w:rsid w:val="009772D9"/>
    <w:rsid w:val="009904BF"/>
    <w:rsid w:val="009943CE"/>
    <w:rsid w:val="009A1DA5"/>
    <w:rsid w:val="009A2C26"/>
    <w:rsid w:val="009D359E"/>
    <w:rsid w:val="00A00600"/>
    <w:rsid w:val="00A25025"/>
    <w:rsid w:val="00A35B6B"/>
    <w:rsid w:val="00A37D2C"/>
    <w:rsid w:val="00A410E5"/>
    <w:rsid w:val="00A419E6"/>
    <w:rsid w:val="00A43CD0"/>
    <w:rsid w:val="00A8065D"/>
    <w:rsid w:val="00A83F7F"/>
    <w:rsid w:val="00A86212"/>
    <w:rsid w:val="00A9303A"/>
    <w:rsid w:val="00AA150E"/>
    <w:rsid w:val="00AB1773"/>
    <w:rsid w:val="00AB6454"/>
    <w:rsid w:val="00AB67E5"/>
    <w:rsid w:val="00AB7148"/>
    <w:rsid w:val="00AB7D5B"/>
    <w:rsid w:val="00AC47D7"/>
    <w:rsid w:val="00AD159E"/>
    <w:rsid w:val="00AD1DC9"/>
    <w:rsid w:val="00AD5E4E"/>
    <w:rsid w:val="00AE212C"/>
    <w:rsid w:val="00AE50A5"/>
    <w:rsid w:val="00AF5753"/>
    <w:rsid w:val="00AF5968"/>
    <w:rsid w:val="00AF5D83"/>
    <w:rsid w:val="00AF6C4D"/>
    <w:rsid w:val="00AF77B2"/>
    <w:rsid w:val="00B02218"/>
    <w:rsid w:val="00B03FDB"/>
    <w:rsid w:val="00B10737"/>
    <w:rsid w:val="00B45294"/>
    <w:rsid w:val="00B53A0E"/>
    <w:rsid w:val="00B54BD5"/>
    <w:rsid w:val="00B818CD"/>
    <w:rsid w:val="00B81B03"/>
    <w:rsid w:val="00B8301A"/>
    <w:rsid w:val="00B878E0"/>
    <w:rsid w:val="00B94CF9"/>
    <w:rsid w:val="00BB32B1"/>
    <w:rsid w:val="00BE7F9A"/>
    <w:rsid w:val="00BF439F"/>
    <w:rsid w:val="00BF5548"/>
    <w:rsid w:val="00C0115B"/>
    <w:rsid w:val="00C0166A"/>
    <w:rsid w:val="00C04029"/>
    <w:rsid w:val="00C04BE4"/>
    <w:rsid w:val="00C04D83"/>
    <w:rsid w:val="00C17B80"/>
    <w:rsid w:val="00C20D3B"/>
    <w:rsid w:val="00C24EB0"/>
    <w:rsid w:val="00C43EA4"/>
    <w:rsid w:val="00C45F68"/>
    <w:rsid w:val="00C46F6C"/>
    <w:rsid w:val="00C64288"/>
    <w:rsid w:val="00C64D36"/>
    <w:rsid w:val="00C67289"/>
    <w:rsid w:val="00C73ADF"/>
    <w:rsid w:val="00C90A3D"/>
    <w:rsid w:val="00CB298F"/>
    <w:rsid w:val="00CB492C"/>
    <w:rsid w:val="00CC0D6B"/>
    <w:rsid w:val="00CC2A67"/>
    <w:rsid w:val="00CD3489"/>
    <w:rsid w:val="00CD42FC"/>
    <w:rsid w:val="00CE11E9"/>
    <w:rsid w:val="00CE66E2"/>
    <w:rsid w:val="00CF3439"/>
    <w:rsid w:val="00CF4B8A"/>
    <w:rsid w:val="00D302F9"/>
    <w:rsid w:val="00D30431"/>
    <w:rsid w:val="00D461A2"/>
    <w:rsid w:val="00D54227"/>
    <w:rsid w:val="00D60863"/>
    <w:rsid w:val="00D63248"/>
    <w:rsid w:val="00D66FE7"/>
    <w:rsid w:val="00D723C6"/>
    <w:rsid w:val="00D841ED"/>
    <w:rsid w:val="00D86A88"/>
    <w:rsid w:val="00DA2C2B"/>
    <w:rsid w:val="00DA350E"/>
    <w:rsid w:val="00DB33F1"/>
    <w:rsid w:val="00DB4AFE"/>
    <w:rsid w:val="00DC5083"/>
    <w:rsid w:val="00DD0EEA"/>
    <w:rsid w:val="00DD7FCC"/>
    <w:rsid w:val="00DF0A31"/>
    <w:rsid w:val="00DF1F83"/>
    <w:rsid w:val="00DF6496"/>
    <w:rsid w:val="00E15DDA"/>
    <w:rsid w:val="00E305E5"/>
    <w:rsid w:val="00E34E3A"/>
    <w:rsid w:val="00E65589"/>
    <w:rsid w:val="00E655CC"/>
    <w:rsid w:val="00E713FA"/>
    <w:rsid w:val="00E74ECD"/>
    <w:rsid w:val="00E97B2D"/>
    <w:rsid w:val="00EB0D59"/>
    <w:rsid w:val="00EB5966"/>
    <w:rsid w:val="00EC594E"/>
    <w:rsid w:val="00ED441B"/>
    <w:rsid w:val="00EE4712"/>
    <w:rsid w:val="00EF20FF"/>
    <w:rsid w:val="00EF2AD1"/>
    <w:rsid w:val="00EF651D"/>
    <w:rsid w:val="00F01704"/>
    <w:rsid w:val="00F068D3"/>
    <w:rsid w:val="00F07386"/>
    <w:rsid w:val="00F21E59"/>
    <w:rsid w:val="00F272D2"/>
    <w:rsid w:val="00F27692"/>
    <w:rsid w:val="00F325E3"/>
    <w:rsid w:val="00F43FD7"/>
    <w:rsid w:val="00F613C7"/>
    <w:rsid w:val="00F665C8"/>
    <w:rsid w:val="00F669C7"/>
    <w:rsid w:val="00F72417"/>
    <w:rsid w:val="00F81FB7"/>
    <w:rsid w:val="00F827D2"/>
    <w:rsid w:val="00F834F6"/>
    <w:rsid w:val="00F97FA9"/>
    <w:rsid w:val="00FA7F8C"/>
    <w:rsid w:val="00FC26B6"/>
    <w:rsid w:val="00FD1C3D"/>
    <w:rsid w:val="00FD70D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0F8F20"/>
  <w15:docId w15:val="{FC60F30D-1CE9-459B-B4BB-49AF3DBD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uiPriority="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DB"/>
    <w:pPr>
      <w:spacing w:after="280" w:line="280" w:lineRule="atLeast"/>
    </w:pPr>
    <w:rPr>
      <w:sz w:val="18"/>
    </w:rPr>
  </w:style>
  <w:style w:type="paragraph" w:styleId="Overskrift1">
    <w:name w:val="heading 1"/>
    <w:basedOn w:val="Normal"/>
    <w:next w:val="Normal"/>
    <w:link w:val="Overskrift1Tegn"/>
    <w:uiPriority w:val="1"/>
    <w:qFormat/>
    <w:rsid w:val="00096FA8"/>
    <w:pPr>
      <w:keepNext/>
      <w:keepLines/>
      <w:spacing w:before="480" w:after="220" w:line="560" w:lineRule="atLeast"/>
      <w:outlineLvl w:val="0"/>
    </w:pPr>
    <w:rPr>
      <w:rFonts w:asciiTheme="majorHAnsi" w:eastAsiaTheme="majorEastAsia" w:hAnsiTheme="majorHAnsi" w:cstheme="majorBidi"/>
      <w:bCs/>
      <w:color w:val="004E59"/>
      <w:sz w:val="48"/>
      <w:szCs w:val="28"/>
    </w:rPr>
  </w:style>
  <w:style w:type="paragraph" w:styleId="Overskrift2">
    <w:name w:val="heading 2"/>
    <w:basedOn w:val="Normal"/>
    <w:next w:val="Normal"/>
    <w:link w:val="Overskrift2Tegn"/>
    <w:uiPriority w:val="1"/>
    <w:qFormat/>
    <w:rsid w:val="00913D59"/>
    <w:pPr>
      <w:keepNext/>
      <w:keepLines/>
      <w:pBdr>
        <w:bottom w:val="single" w:sz="4" w:space="2" w:color="82C341"/>
      </w:pBdr>
      <w:outlineLvl w:val="1"/>
    </w:pPr>
    <w:rPr>
      <w:rFonts w:asciiTheme="majorHAnsi" w:eastAsiaTheme="majorEastAsia" w:hAnsiTheme="majorHAnsi" w:cstheme="majorBidi"/>
      <w:b/>
      <w:bCs/>
      <w:caps/>
      <w:color w:val="004F59" w:themeColor="text2"/>
      <w:sz w:val="24"/>
      <w:szCs w:val="26"/>
    </w:rPr>
  </w:style>
  <w:style w:type="paragraph" w:styleId="Overskrift3">
    <w:name w:val="heading 3"/>
    <w:basedOn w:val="Normal"/>
    <w:next w:val="Normal"/>
    <w:link w:val="Overskrift3Tegn"/>
    <w:uiPriority w:val="1"/>
    <w:qFormat/>
    <w:rsid w:val="00202CE4"/>
    <w:pPr>
      <w:keepNext/>
      <w:keepLines/>
      <w:tabs>
        <w:tab w:val="center" w:pos="559"/>
        <w:tab w:val="left" w:pos="1231"/>
        <w:tab w:val="left" w:pos="5472"/>
      </w:tabs>
      <w:spacing w:before="560"/>
      <w:outlineLvl w:val="2"/>
    </w:pPr>
    <w:rPr>
      <w:rFonts w:asciiTheme="majorHAnsi" w:eastAsiaTheme="majorEastAsia" w:hAnsiTheme="majorHAnsi" w:cstheme="majorBidi"/>
      <w:b/>
      <w:bCs/>
      <w:color w:val="84BD00" w:themeColor="background2"/>
      <w:sz w:val="24"/>
      <w:szCs w:val="24"/>
    </w:rPr>
  </w:style>
  <w:style w:type="paragraph" w:styleId="Overskrift4">
    <w:name w:val="heading 4"/>
    <w:basedOn w:val="Normal"/>
    <w:next w:val="Normal"/>
    <w:link w:val="Overskrift4Tegn"/>
    <w:uiPriority w:val="1"/>
    <w:qFormat/>
    <w:rsid w:val="00202CE4"/>
    <w:pPr>
      <w:outlineLvl w:val="3"/>
    </w:pPr>
    <w:rPr>
      <w:b/>
      <w:cap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096FA8"/>
    <w:rPr>
      <w:rFonts w:asciiTheme="majorHAnsi" w:eastAsiaTheme="majorEastAsia" w:hAnsiTheme="majorHAnsi" w:cstheme="majorBidi"/>
      <w:bCs/>
      <w:color w:val="004E59"/>
      <w:sz w:val="48"/>
      <w:szCs w:val="28"/>
    </w:rPr>
  </w:style>
  <w:style w:type="character" w:customStyle="1" w:styleId="Overskrift2Tegn">
    <w:name w:val="Overskrift 2 Tegn"/>
    <w:basedOn w:val="Standardskriftforavsnitt"/>
    <w:link w:val="Overskrift2"/>
    <w:uiPriority w:val="1"/>
    <w:rsid w:val="00913D59"/>
    <w:rPr>
      <w:rFonts w:asciiTheme="majorHAnsi" w:eastAsiaTheme="majorEastAsia" w:hAnsiTheme="majorHAnsi" w:cstheme="majorBidi"/>
      <w:b/>
      <w:bCs/>
      <w:caps/>
      <w:color w:val="004F59" w:themeColor="text2"/>
      <w:sz w:val="24"/>
      <w:szCs w:val="26"/>
    </w:rPr>
  </w:style>
  <w:style w:type="table" w:styleId="Tabellrutenett">
    <w:name w:val="Table Grid"/>
    <w:basedOn w:val="Vanligtabell"/>
    <w:uiPriority w:val="59"/>
    <w:rsid w:val="00C04029"/>
    <w:pPr>
      <w:spacing w:after="0" w:line="240" w:lineRule="auto"/>
    </w:pPr>
    <w:tblPr>
      <w:tblCellMar>
        <w:left w:w="0" w:type="dxa"/>
        <w:right w:w="0" w:type="dxa"/>
      </w:tblCellMar>
    </w:tblPr>
  </w:style>
  <w:style w:type="paragraph" w:customStyle="1" w:styleId="Heading1Gr">
    <w:name w:val="Heading 1 Grå"/>
    <w:basedOn w:val="Overskrift1"/>
    <w:next w:val="Normal"/>
    <w:uiPriority w:val="1"/>
    <w:qFormat/>
    <w:rsid w:val="008A0E32"/>
    <w:pPr>
      <w:spacing w:after="400"/>
    </w:pPr>
    <w:rPr>
      <w:color w:val="999999"/>
    </w:rPr>
  </w:style>
  <w:style w:type="paragraph" w:customStyle="1" w:styleId="Ingress">
    <w:name w:val="Ingress"/>
    <w:basedOn w:val="Normal"/>
    <w:uiPriority w:val="2"/>
    <w:qFormat/>
    <w:rsid w:val="000C0A51"/>
    <w:rPr>
      <w:color w:val="82C341"/>
      <w:sz w:val="24"/>
    </w:rPr>
  </w:style>
  <w:style w:type="paragraph" w:customStyle="1" w:styleId="Ingressgr">
    <w:name w:val="Ingress grå"/>
    <w:basedOn w:val="Ingress"/>
    <w:next w:val="Normal"/>
    <w:uiPriority w:val="2"/>
    <w:qFormat/>
    <w:rsid w:val="000C0A51"/>
    <w:rPr>
      <w:color w:val="999999"/>
    </w:rPr>
  </w:style>
  <w:style w:type="character" w:customStyle="1" w:styleId="Overskrift3Tegn">
    <w:name w:val="Overskrift 3 Tegn"/>
    <w:basedOn w:val="Standardskriftforavsnitt"/>
    <w:link w:val="Overskrift3"/>
    <w:uiPriority w:val="1"/>
    <w:rsid w:val="00202CE4"/>
    <w:rPr>
      <w:rFonts w:asciiTheme="majorHAnsi" w:eastAsiaTheme="majorEastAsia" w:hAnsiTheme="majorHAnsi" w:cstheme="majorBidi"/>
      <w:b/>
      <w:bCs/>
      <w:color w:val="84BD00" w:themeColor="background2"/>
      <w:sz w:val="24"/>
      <w:szCs w:val="24"/>
    </w:rPr>
  </w:style>
  <w:style w:type="paragraph" w:customStyle="1" w:styleId="Ingress2">
    <w:name w:val="Ingress 2"/>
    <w:basedOn w:val="Ingress"/>
    <w:next w:val="Normal"/>
    <w:uiPriority w:val="2"/>
    <w:qFormat/>
    <w:rsid w:val="007B71E8"/>
    <w:rPr>
      <w:b/>
      <w:color w:val="000000" w:themeColor="text1"/>
      <w:sz w:val="18"/>
    </w:rPr>
  </w:style>
  <w:style w:type="paragraph" w:customStyle="1" w:styleId="Infotekst">
    <w:name w:val="Infotekst"/>
    <w:basedOn w:val="Normal"/>
    <w:next w:val="Normal"/>
    <w:uiPriority w:val="2"/>
    <w:qFormat/>
    <w:rsid w:val="009151D8"/>
    <w:pPr>
      <w:spacing w:line="180" w:lineRule="atLeast"/>
    </w:pPr>
    <w:rPr>
      <w:sz w:val="14"/>
    </w:rPr>
  </w:style>
  <w:style w:type="paragraph" w:customStyle="1" w:styleId="Dokumentinfo">
    <w:name w:val="Dokumentinfo"/>
    <w:basedOn w:val="Normal"/>
    <w:uiPriority w:val="2"/>
    <w:qFormat/>
    <w:rsid w:val="00BB32B1"/>
    <w:pPr>
      <w:spacing w:after="0"/>
    </w:pPr>
    <w:rPr>
      <w:sz w:val="16"/>
    </w:rPr>
  </w:style>
  <w:style w:type="paragraph" w:styleId="Topptekst">
    <w:name w:val="header"/>
    <w:basedOn w:val="Normal"/>
    <w:link w:val="TopptekstTegn"/>
    <w:uiPriority w:val="99"/>
    <w:semiHidden/>
    <w:rsid w:val="004120C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0D16D7"/>
    <w:rPr>
      <w:sz w:val="18"/>
    </w:rPr>
  </w:style>
  <w:style w:type="paragraph" w:styleId="Bunntekst">
    <w:name w:val="footer"/>
    <w:basedOn w:val="Normal"/>
    <w:link w:val="BunntekstTegn"/>
    <w:uiPriority w:val="99"/>
    <w:semiHidden/>
    <w:rsid w:val="004120C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0D16D7"/>
    <w:rPr>
      <w:sz w:val="18"/>
    </w:rPr>
  </w:style>
  <w:style w:type="paragraph" w:styleId="Bobletekst">
    <w:name w:val="Balloon Text"/>
    <w:basedOn w:val="Normal"/>
    <w:link w:val="BobletekstTegn"/>
    <w:uiPriority w:val="99"/>
    <w:semiHidden/>
    <w:rsid w:val="004120C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16D7"/>
    <w:rPr>
      <w:rFonts w:ascii="Tahoma" w:hAnsi="Tahoma" w:cs="Tahoma"/>
      <w:sz w:val="16"/>
      <w:szCs w:val="16"/>
    </w:rPr>
  </w:style>
  <w:style w:type="character" w:styleId="Plassholdertekst">
    <w:name w:val="Placeholder Text"/>
    <w:basedOn w:val="Standardskriftforavsnitt"/>
    <w:uiPriority w:val="99"/>
    <w:semiHidden/>
    <w:rsid w:val="004120CD"/>
    <w:rPr>
      <w:color w:val="808080"/>
    </w:rPr>
  </w:style>
  <w:style w:type="paragraph" w:customStyle="1" w:styleId="Default">
    <w:name w:val="Default"/>
    <w:rsid w:val="00BB32B1"/>
    <w:pPr>
      <w:autoSpaceDE w:val="0"/>
      <w:autoSpaceDN w:val="0"/>
      <w:adjustRightInd w:val="0"/>
      <w:spacing w:after="0" w:line="240" w:lineRule="auto"/>
    </w:pPr>
    <w:rPr>
      <w:rFonts w:ascii="Lucida Sans" w:hAnsi="Lucida Sans" w:cs="Lucida Sans"/>
      <w:color w:val="000000"/>
      <w:sz w:val="24"/>
      <w:szCs w:val="24"/>
    </w:rPr>
  </w:style>
  <w:style w:type="character" w:customStyle="1" w:styleId="Overskrift4Tegn">
    <w:name w:val="Overskrift 4 Tegn"/>
    <w:basedOn w:val="Standardskriftforavsnitt"/>
    <w:link w:val="Overskrift4"/>
    <w:uiPriority w:val="1"/>
    <w:rsid w:val="00202CE4"/>
    <w:rPr>
      <w:b/>
      <w:caps/>
      <w:sz w:val="18"/>
    </w:rPr>
  </w:style>
  <w:style w:type="table" w:customStyle="1" w:styleId="Eika">
    <w:name w:val="Eika"/>
    <w:basedOn w:val="Vanligtabell"/>
    <w:uiPriority w:val="99"/>
    <w:rsid w:val="00396CDB"/>
    <w:pPr>
      <w:spacing w:after="0" w:line="240" w:lineRule="auto"/>
    </w:pPr>
    <w:tblPr>
      <w:tblBorders>
        <w:bottom w:val="single" w:sz="4" w:space="0" w:color="84BD00" w:themeColor="background2"/>
        <w:insideH w:val="single" w:sz="4" w:space="0" w:color="84BD00" w:themeColor="background2"/>
      </w:tblBorders>
      <w:tblCellMar>
        <w:top w:w="142" w:type="dxa"/>
        <w:left w:w="57" w:type="dxa"/>
        <w:bottom w:w="142" w:type="dxa"/>
        <w:right w:w="57" w:type="dxa"/>
      </w:tblCellMar>
    </w:tblPr>
    <w:tblStylePr w:type="firstRow">
      <w:rPr>
        <w:caps/>
        <w:smallCaps w:val="0"/>
        <w:color w:val="004F59" w:themeColor="text2"/>
        <w:sz w:val="23"/>
      </w:rPr>
    </w:tblStylePr>
  </w:style>
  <w:style w:type="paragraph" w:styleId="Punktliste">
    <w:name w:val="List Bullet"/>
    <w:basedOn w:val="Normal"/>
    <w:uiPriority w:val="4"/>
    <w:qFormat/>
    <w:rsid w:val="00252ABB"/>
    <w:pPr>
      <w:numPr>
        <w:numId w:val="2"/>
      </w:numPr>
      <w:spacing w:after="0"/>
      <w:ind w:left="142" w:hanging="142"/>
      <w:contextualSpacing/>
    </w:pPr>
  </w:style>
  <w:style w:type="paragraph" w:styleId="Punktliste2">
    <w:name w:val="List Bullet 2"/>
    <w:basedOn w:val="Normal"/>
    <w:uiPriority w:val="4"/>
    <w:qFormat/>
    <w:rsid w:val="00252ABB"/>
    <w:pPr>
      <w:numPr>
        <w:numId w:val="3"/>
      </w:numPr>
      <w:ind w:left="596" w:hanging="142"/>
      <w:contextualSpacing/>
    </w:pPr>
  </w:style>
  <w:style w:type="paragraph" w:styleId="INNH2">
    <w:name w:val="toc 2"/>
    <w:basedOn w:val="Normal"/>
    <w:next w:val="Normal"/>
    <w:autoRedefine/>
    <w:uiPriority w:val="39"/>
    <w:rsid w:val="00094CC3"/>
    <w:pPr>
      <w:tabs>
        <w:tab w:val="left" w:pos="851"/>
        <w:tab w:val="right" w:leader="dot" w:pos="9639"/>
      </w:tabs>
      <w:spacing w:after="0"/>
      <w:ind w:left="284"/>
    </w:pPr>
  </w:style>
  <w:style w:type="paragraph" w:styleId="Overskriftforinnholdsfortegnelse">
    <w:name w:val="TOC Heading"/>
    <w:aliases w:val="Sidebar Heading"/>
    <w:basedOn w:val="Overskrift2"/>
    <w:next w:val="Normal"/>
    <w:uiPriority w:val="39"/>
    <w:qFormat/>
    <w:rsid w:val="005D45A4"/>
    <w:pPr>
      <w:outlineLvl w:val="8"/>
    </w:pPr>
  </w:style>
  <w:style w:type="paragraph" w:styleId="Brdtekst">
    <w:name w:val="Body Text"/>
    <w:basedOn w:val="Normal"/>
    <w:link w:val="BrdtekstTegn"/>
    <w:uiPriority w:val="99"/>
    <w:rsid w:val="00F613C7"/>
    <w:pPr>
      <w:spacing w:after="120"/>
    </w:pPr>
  </w:style>
  <w:style w:type="character" w:customStyle="1" w:styleId="BrdtekstTegn">
    <w:name w:val="Brødtekst Tegn"/>
    <w:basedOn w:val="Standardskriftforavsnitt"/>
    <w:link w:val="Brdtekst"/>
    <w:uiPriority w:val="99"/>
    <w:rsid w:val="00F613C7"/>
    <w:rPr>
      <w:sz w:val="18"/>
    </w:rPr>
  </w:style>
  <w:style w:type="paragraph" w:styleId="Brdtekst2">
    <w:name w:val="Body Text 2"/>
    <w:basedOn w:val="Normal"/>
    <w:link w:val="Brdtekst2Tegn"/>
    <w:uiPriority w:val="99"/>
    <w:rsid w:val="00C0166A"/>
    <w:rPr>
      <w:rFonts w:ascii="Lucida Bright" w:hAnsi="Lucida Bright"/>
    </w:rPr>
  </w:style>
  <w:style w:type="character" w:customStyle="1" w:styleId="Brdtekst2Tegn">
    <w:name w:val="Brødtekst 2 Tegn"/>
    <w:basedOn w:val="Standardskriftforavsnitt"/>
    <w:link w:val="Brdtekst2"/>
    <w:uiPriority w:val="99"/>
    <w:rsid w:val="00C0166A"/>
    <w:rPr>
      <w:rFonts w:ascii="Lucida Bright" w:hAnsi="Lucida Bright"/>
      <w:sz w:val="18"/>
    </w:rPr>
  </w:style>
  <w:style w:type="character" w:styleId="Hyperkobling">
    <w:name w:val="Hyperlink"/>
    <w:basedOn w:val="Standardskriftforavsnitt"/>
    <w:uiPriority w:val="99"/>
    <w:rsid w:val="0019287F"/>
    <w:rPr>
      <w:color w:val="7F3035" w:themeColor="hyperlink"/>
      <w:u w:val="single"/>
    </w:rPr>
  </w:style>
  <w:style w:type="paragraph" w:styleId="INNH1">
    <w:name w:val="toc 1"/>
    <w:basedOn w:val="Normal"/>
    <w:next w:val="Normal"/>
    <w:autoRedefine/>
    <w:uiPriority w:val="39"/>
    <w:rsid w:val="002A5F00"/>
    <w:pPr>
      <w:pBdr>
        <w:bottom w:val="single" w:sz="4" w:space="1" w:color="84BD00"/>
        <w:between w:val="single" w:sz="4" w:space="1" w:color="84BD00"/>
      </w:pBdr>
      <w:tabs>
        <w:tab w:val="right" w:pos="9639"/>
      </w:tabs>
      <w:spacing w:before="300" w:after="0"/>
      <w:ind w:left="284"/>
    </w:pPr>
    <w:rPr>
      <w:caps/>
      <w:noProof/>
      <w:sz w:val="23"/>
      <w:lang w:val="da-DK"/>
    </w:rPr>
  </w:style>
  <w:style w:type="paragraph" w:customStyle="1" w:styleId="NummerertOverskrift2">
    <w:name w:val="Nummerert Overskrift 2"/>
    <w:basedOn w:val="Overskrift2"/>
    <w:next w:val="Normal"/>
    <w:uiPriority w:val="1"/>
    <w:semiHidden/>
    <w:qFormat/>
    <w:rsid w:val="005625CF"/>
    <w:pPr>
      <w:pBdr>
        <w:bottom w:val="single" w:sz="4" w:space="1" w:color="82C341"/>
      </w:pBdr>
      <w:ind w:left="1230" w:hanging="1230"/>
    </w:pPr>
    <w:rPr>
      <w:color w:val="000000" w:themeColor="text1"/>
    </w:rPr>
  </w:style>
  <w:style w:type="paragraph" w:customStyle="1" w:styleId="Tabletext">
    <w:name w:val="Table text"/>
    <w:basedOn w:val="Normal"/>
    <w:qFormat/>
    <w:rsid w:val="00FA7F8C"/>
    <w:pPr>
      <w:spacing w:after="0"/>
    </w:pPr>
    <w:rPr>
      <w:lang w:val="da-DK"/>
    </w:rPr>
  </w:style>
  <w:style w:type="paragraph" w:styleId="INNH3">
    <w:name w:val="toc 3"/>
    <w:basedOn w:val="Normal"/>
    <w:next w:val="Normal"/>
    <w:autoRedefine/>
    <w:uiPriority w:val="39"/>
    <w:rsid w:val="00953498"/>
    <w:pPr>
      <w:tabs>
        <w:tab w:val="left" w:pos="851"/>
        <w:tab w:val="right" w:leader="dot" w:pos="9628"/>
      </w:tabs>
      <w:spacing w:after="100"/>
      <w:ind w:left="851" w:hanging="567"/>
    </w:pPr>
  </w:style>
  <w:style w:type="paragraph" w:styleId="Listeavsnitt">
    <w:name w:val="List Paragraph"/>
    <w:basedOn w:val="Normal"/>
    <w:uiPriority w:val="34"/>
    <w:qFormat/>
    <w:rsid w:val="00A410E5"/>
    <w:pPr>
      <w:ind w:left="720"/>
      <w:contextualSpacing/>
    </w:pPr>
  </w:style>
  <w:style w:type="paragraph" w:styleId="NormalWeb">
    <w:name w:val="Normal (Web)"/>
    <w:basedOn w:val="Normal"/>
    <w:uiPriority w:val="99"/>
    <w:semiHidden/>
    <w:unhideWhenUsed/>
    <w:rsid w:val="00DC508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844869"/>
    <w:rPr>
      <w:sz w:val="16"/>
      <w:szCs w:val="16"/>
    </w:rPr>
  </w:style>
  <w:style w:type="paragraph" w:styleId="Merknadstekst">
    <w:name w:val="annotation text"/>
    <w:basedOn w:val="Normal"/>
    <w:link w:val="MerknadstekstTegn"/>
    <w:uiPriority w:val="99"/>
    <w:semiHidden/>
    <w:unhideWhenUsed/>
    <w:rsid w:val="0084486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44869"/>
    <w:rPr>
      <w:sz w:val="20"/>
      <w:szCs w:val="20"/>
    </w:rPr>
  </w:style>
  <w:style w:type="paragraph" w:styleId="Kommentaremne">
    <w:name w:val="annotation subject"/>
    <w:basedOn w:val="Merknadstekst"/>
    <w:next w:val="Merknadstekst"/>
    <w:link w:val="KommentaremneTegn"/>
    <w:uiPriority w:val="99"/>
    <w:semiHidden/>
    <w:unhideWhenUsed/>
    <w:rsid w:val="00844869"/>
    <w:rPr>
      <w:b/>
      <w:bCs/>
    </w:rPr>
  </w:style>
  <w:style w:type="character" w:customStyle="1" w:styleId="KommentaremneTegn">
    <w:name w:val="Kommentaremne Tegn"/>
    <w:basedOn w:val="MerknadstekstTegn"/>
    <w:link w:val="Kommentaremne"/>
    <w:uiPriority w:val="99"/>
    <w:semiHidden/>
    <w:rsid w:val="008448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01477">
      <w:bodyDiv w:val="1"/>
      <w:marLeft w:val="0"/>
      <w:marRight w:val="0"/>
      <w:marTop w:val="0"/>
      <w:marBottom w:val="0"/>
      <w:divBdr>
        <w:top w:val="none" w:sz="0" w:space="0" w:color="auto"/>
        <w:left w:val="none" w:sz="0" w:space="0" w:color="auto"/>
        <w:bottom w:val="none" w:sz="0" w:space="0" w:color="auto"/>
        <w:right w:val="none" w:sz="0" w:space="0" w:color="auto"/>
      </w:divBdr>
    </w:div>
    <w:div w:id="209151148">
      <w:bodyDiv w:val="1"/>
      <w:marLeft w:val="0"/>
      <w:marRight w:val="0"/>
      <w:marTop w:val="0"/>
      <w:marBottom w:val="0"/>
      <w:divBdr>
        <w:top w:val="none" w:sz="0" w:space="0" w:color="auto"/>
        <w:left w:val="none" w:sz="0" w:space="0" w:color="auto"/>
        <w:bottom w:val="none" w:sz="0" w:space="0" w:color="auto"/>
        <w:right w:val="none" w:sz="0" w:space="0" w:color="auto"/>
      </w:divBdr>
    </w:div>
    <w:div w:id="268391323">
      <w:bodyDiv w:val="1"/>
      <w:marLeft w:val="0"/>
      <w:marRight w:val="0"/>
      <w:marTop w:val="0"/>
      <w:marBottom w:val="0"/>
      <w:divBdr>
        <w:top w:val="none" w:sz="0" w:space="0" w:color="auto"/>
        <w:left w:val="none" w:sz="0" w:space="0" w:color="auto"/>
        <w:bottom w:val="none" w:sz="0" w:space="0" w:color="auto"/>
        <w:right w:val="none" w:sz="0" w:space="0" w:color="auto"/>
      </w:divBdr>
    </w:div>
    <w:div w:id="462188973">
      <w:bodyDiv w:val="1"/>
      <w:marLeft w:val="0"/>
      <w:marRight w:val="0"/>
      <w:marTop w:val="0"/>
      <w:marBottom w:val="0"/>
      <w:divBdr>
        <w:top w:val="none" w:sz="0" w:space="0" w:color="auto"/>
        <w:left w:val="none" w:sz="0" w:space="0" w:color="auto"/>
        <w:bottom w:val="none" w:sz="0" w:space="0" w:color="auto"/>
        <w:right w:val="none" w:sz="0" w:space="0" w:color="auto"/>
      </w:divBdr>
    </w:div>
    <w:div w:id="613682162">
      <w:bodyDiv w:val="1"/>
      <w:marLeft w:val="0"/>
      <w:marRight w:val="0"/>
      <w:marTop w:val="0"/>
      <w:marBottom w:val="0"/>
      <w:divBdr>
        <w:top w:val="none" w:sz="0" w:space="0" w:color="auto"/>
        <w:left w:val="none" w:sz="0" w:space="0" w:color="auto"/>
        <w:bottom w:val="none" w:sz="0" w:space="0" w:color="auto"/>
        <w:right w:val="none" w:sz="0" w:space="0" w:color="auto"/>
      </w:divBdr>
    </w:div>
    <w:div w:id="673842899">
      <w:bodyDiv w:val="1"/>
      <w:marLeft w:val="0"/>
      <w:marRight w:val="0"/>
      <w:marTop w:val="0"/>
      <w:marBottom w:val="0"/>
      <w:divBdr>
        <w:top w:val="none" w:sz="0" w:space="0" w:color="auto"/>
        <w:left w:val="none" w:sz="0" w:space="0" w:color="auto"/>
        <w:bottom w:val="none" w:sz="0" w:space="0" w:color="auto"/>
        <w:right w:val="none" w:sz="0" w:space="0" w:color="auto"/>
      </w:divBdr>
    </w:div>
    <w:div w:id="719482034">
      <w:bodyDiv w:val="1"/>
      <w:marLeft w:val="0"/>
      <w:marRight w:val="0"/>
      <w:marTop w:val="0"/>
      <w:marBottom w:val="0"/>
      <w:divBdr>
        <w:top w:val="none" w:sz="0" w:space="0" w:color="auto"/>
        <w:left w:val="none" w:sz="0" w:space="0" w:color="auto"/>
        <w:bottom w:val="none" w:sz="0" w:space="0" w:color="auto"/>
        <w:right w:val="none" w:sz="0" w:space="0" w:color="auto"/>
      </w:divBdr>
    </w:div>
    <w:div w:id="801582270">
      <w:bodyDiv w:val="1"/>
      <w:marLeft w:val="0"/>
      <w:marRight w:val="0"/>
      <w:marTop w:val="0"/>
      <w:marBottom w:val="0"/>
      <w:divBdr>
        <w:top w:val="none" w:sz="0" w:space="0" w:color="auto"/>
        <w:left w:val="none" w:sz="0" w:space="0" w:color="auto"/>
        <w:bottom w:val="none" w:sz="0" w:space="0" w:color="auto"/>
        <w:right w:val="none" w:sz="0" w:space="0" w:color="auto"/>
      </w:divBdr>
    </w:div>
    <w:div w:id="850873983">
      <w:bodyDiv w:val="1"/>
      <w:marLeft w:val="0"/>
      <w:marRight w:val="0"/>
      <w:marTop w:val="0"/>
      <w:marBottom w:val="0"/>
      <w:divBdr>
        <w:top w:val="none" w:sz="0" w:space="0" w:color="auto"/>
        <w:left w:val="none" w:sz="0" w:space="0" w:color="auto"/>
        <w:bottom w:val="none" w:sz="0" w:space="0" w:color="auto"/>
        <w:right w:val="none" w:sz="0" w:space="0" w:color="auto"/>
      </w:divBdr>
    </w:div>
    <w:div w:id="869998381">
      <w:bodyDiv w:val="1"/>
      <w:marLeft w:val="0"/>
      <w:marRight w:val="0"/>
      <w:marTop w:val="0"/>
      <w:marBottom w:val="0"/>
      <w:divBdr>
        <w:top w:val="none" w:sz="0" w:space="0" w:color="auto"/>
        <w:left w:val="none" w:sz="0" w:space="0" w:color="auto"/>
        <w:bottom w:val="none" w:sz="0" w:space="0" w:color="auto"/>
        <w:right w:val="none" w:sz="0" w:space="0" w:color="auto"/>
      </w:divBdr>
    </w:div>
    <w:div w:id="1282345848">
      <w:bodyDiv w:val="1"/>
      <w:marLeft w:val="0"/>
      <w:marRight w:val="0"/>
      <w:marTop w:val="0"/>
      <w:marBottom w:val="0"/>
      <w:divBdr>
        <w:top w:val="none" w:sz="0" w:space="0" w:color="auto"/>
        <w:left w:val="none" w:sz="0" w:space="0" w:color="auto"/>
        <w:bottom w:val="none" w:sz="0" w:space="0" w:color="auto"/>
        <w:right w:val="none" w:sz="0" w:space="0" w:color="auto"/>
      </w:divBdr>
    </w:div>
    <w:div w:id="1559512404">
      <w:bodyDiv w:val="1"/>
      <w:marLeft w:val="0"/>
      <w:marRight w:val="0"/>
      <w:marTop w:val="0"/>
      <w:marBottom w:val="0"/>
      <w:divBdr>
        <w:top w:val="none" w:sz="0" w:space="0" w:color="auto"/>
        <w:left w:val="none" w:sz="0" w:space="0" w:color="auto"/>
        <w:bottom w:val="none" w:sz="0" w:space="0" w:color="auto"/>
        <w:right w:val="none" w:sz="0" w:space="0" w:color="auto"/>
      </w:divBdr>
    </w:div>
    <w:div w:id="196130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10.emf"/><Relationship Id="rId39"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8.emf"/><Relationship Id="rId42"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diagramQuickStyle" Target="diagrams/quickStyle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5.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image" Target="media/image22.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Eika_Document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5A7C6E-E77E-4E3C-B785-D59A46430931}"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nb-NO"/>
        </a:p>
      </dgm:t>
    </dgm:pt>
    <dgm:pt modelId="{98A4653B-2535-4184-8320-49EB463DDB72}">
      <dgm:prSet phldrT="[Tekst]" custT="1"/>
      <dgm:spPr>
        <a:xfrm>
          <a:off x="386624" y="54256"/>
          <a:ext cx="1333438" cy="354077"/>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b-NO" sz="900" b="1" dirty="0">
              <a:solidFill>
                <a:sysClr val="windowText" lastClr="000000"/>
              </a:solidFill>
              <a:latin typeface="Lucida Sans"/>
              <a:ea typeface="+mn-ea"/>
              <a:cs typeface="+mn-cs"/>
            </a:rPr>
            <a:t>Styret</a:t>
          </a:r>
        </a:p>
      </dgm:t>
    </dgm:pt>
    <dgm:pt modelId="{FD8CA311-98D0-4A6F-B27F-3A5E9848D3F3}" type="parTrans" cxnId="{CD9E1E98-59B1-40E0-B951-271E6B8DEB65}">
      <dgm:prSet/>
      <dgm:spPr/>
      <dgm:t>
        <a:bodyPr/>
        <a:lstStyle/>
        <a:p>
          <a:endParaRPr lang="nb-NO"/>
        </a:p>
      </dgm:t>
    </dgm:pt>
    <dgm:pt modelId="{CD126918-CC39-42C3-B73C-F35FD8947131}" type="sibTrans" cxnId="{CD9E1E98-59B1-40E0-B951-271E6B8DEB65}">
      <dgm:prSet/>
      <dgm:spPr/>
      <dgm:t>
        <a:bodyPr/>
        <a:lstStyle/>
        <a:p>
          <a:endParaRPr lang="nb-NO"/>
        </a:p>
      </dgm:t>
    </dgm:pt>
    <dgm:pt modelId="{A428DFD8-A37E-466A-B8F1-9C041F66925C}">
      <dgm:prSet custT="1"/>
      <dgm:spPr>
        <a:xfrm>
          <a:off x="524680" y="1056491"/>
          <a:ext cx="1013341" cy="391985"/>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lnSpc>
              <a:spcPct val="100000"/>
            </a:lnSpc>
            <a:spcAft>
              <a:spcPts val="0"/>
            </a:spcAft>
            <a:buNone/>
          </a:pPr>
          <a:r>
            <a:rPr lang="nb-NO" sz="900" b="1" dirty="0" err="1">
              <a:solidFill>
                <a:sysClr val="windowText" lastClr="000000"/>
              </a:solidFill>
              <a:latin typeface="Lucida Sans"/>
              <a:ea typeface="+mn-ea"/>
              <a:cs typeface="+mn-cs"/>
            </a:rPr>
            <a:t>Adm.banksjef</a:t>
          </a:r>
          <a:endParaRPr lang="nb-NO" sz="900" b="1" dirty="0">
            <a:solidFill>
              <a:sysClr val="windowText" lastClr="000000"/>
            </a:solidFill>
            <a:latin typeface="Lucida Sans"/>
            <a:ea typeface="+mn-ea"/>
            <a:cs typeface="+mn-cs"/>
          </a:endParaRPr>
        </a:p>
      </dgm:t>
    </dgm:pt>
    <dgm:pt modelId="{EE76B85C-81AC-40F2-BC64-4968F806C5DA}" type="parTrans" cxnId="{4070EA46-C5BE-4F7E-A930-C4EE3F44FE5C}">
      <dgm:prSet/>
      <dgm:spPr>
        <a:xfrm>
          <a:off x="985631" y="408334"/>
          <a:ext cx="91440" cy="648157"/>
        </a:xfrm>
        <a:custGeom>
          <a:avLst/>
          <a:gdLst/>
          <a:ahLst/>
          <a:cxnLst/>
          <a:rect l="0" t="0" r="0" b="0"/>
          <a:pathLst>
            <a:path>
              <a:moveTo>
                <a:pt x="67712" y="0"/>
              </a:moveTo>
              <a:lnTo>
                <a:pt x="67712" y="519511"/>
              </a:lnTo>
              <a:lnTo>
                <a:pt x="45720" y="519511"/>
              </a:lnTo>
              <a:lnTo>
                <a:pt x="45720" y="648157"/>
              </a:lnTo>
            </a:path>
          </a:pathLst>
        </a:custGeom>
        <a:noFill/>
        <a:ln w="25400" cap="flat" cmpd="sng" algn="ctr">
          <a:solidFill>
            <a:srgbClr val="84BD00">
              <a:shade val="60000"/>
              <a:hueOff val="0"/>
              <a:satOff val="0"/>
              <a:lumOff val="0"/>
              <a:alphaOff val="0"/>
            </a:srgbClr>
          </a:solidFill>
          <a:prstDash val="solid"/>
        </a:ln>
        <a:effectLst/>
      </dgm:spPr>
      <dgm:t>
        <a:bodyPr/>
        <a:lstStyle/>
        <a:p>
          <a:endParaRPr lang="nb-NO"/>
        </a:p>
      </dgm:t>
    </dgm:pt>
    <dgm:pt modelId="{EE39DA70-E3B4-4291-88EE-95F08D3CA31F}" type="sibTrans" cxnId="{4070EA46-C5BE-4F7E-A930-C4EE3F44FE5C}">
      <dgm:prSet/>
      <dgm:spPr/>
      <dgm:t>
        <a:bodyPr/>
        <a:lstStyle/>
        <a:p>
          <a:endParaRPr lang="nb-NO"/>
        </a:p>
      </dgm:t>
    </dgm:pt>
    <dgm:pt modelId="{96867D9A-1675-41DB-ADE9-0DC992866226}">
      <dgm:prSet custT="1"/>
      <dgm:spPr>
        <a:xfrm>
          <a:off x="2777402" y="762050"/>
          <a:ext cx="932833" cy="613092"/>
        </a:xfrm>
        <a:prstGeom prst="flowChartDocument">
          <a:avLst/>
        </a:prstGeom>
        <a:solidFill>
          <a:srgbClr val="FFC0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nb-NO" sz="900" b="1" dirty="0">
              <a:solidFill>
                <a:sysClr val="windowText" lastClr="000000"/>
              </a:solidFill>
              <a:latin typeface="Lucida Sans"/>
              <a:ea typeface="+mn-ea"/>
              <a:cs typeface="+mn-cs"/>
            </a:rPr>
            <a:t>Risikorapport</a:t>
          </a:r>
        </a:p>
        <a:p>
          <a:pPr algn="ctr">
            <a:buNone/>
          </a:pPr>
          <a:r>
            <a:rPr lang="nb-NO" sz="900" b="1" dirty="0">
              <a:solidFill>
                <a:sysClr val="windowText" lastClr="000000"/>
              </a:solidFill>
              <a:latin typeface="Lucida Sans"/>
              <a:ea typeface="+mn-ea"/>
              <a:cs typeface="+mn-cs"/>
            </a:rPr>
            <a:t>Brudd på rammer</a:t>
          </a:r>
        </a:p>
      </dgm:t>
    </dgm:pt>
    <dgm:pt modelId="{C4BF2B84-591B-4898-B8E5-9B9ED298E424}" type="parTrans" cxnId="{30B46AB9-460A-4D10-AF9F-7306F461B8CB}">
      <dgm:prSet/>
      <dgm:spPr/>
      <dgm:t>
        <a:bodyPr/>
        <a:lstStyle/>
        <a:p>
          <a:endParaRPr lang="nb-NO"/>
        </a:p>
      </dgm:t>
    </dgm:pt>
    <dgm:pt modelId="{737E5F21-D5B5-42F1-8A11-A0577B685ABC}" type="sibTrans" cxnId="{30B46AB9-460A-4D10-AF9F-7306F461B8CB}">
      <dgm:prSet/>
      <dgm:spPr/>
      <dgm:t>
        <a:bodyPr/>
        <a:lstStyle/>
        <a:p>
          <a:endParaRPr lang="nb-NO"/>
        </a:p>
      </dgm:t>
    </dgm:pt>
    <dgm:pt modelId="{628F83C1-38B0-4EFD-954E-4D5A0E5FF290}" type="asst">
      <dgm:prSet custT="1"/>
      <dgm:spPr>
        <a:xfrm>
          <a:off x="1210758" y="481337"/>
          <a:ext cx="1104546" cy="452443"/>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b-NO" sz="900" b="1" dirty="0">
              <a:solidFill>
                <a:sysClr val="windowText" lastClr="000000"/>
              </a:solidFill>
              <a:latin typeface="Lucida Sans"/>
              <a:ea typeface="+mn-ea"/>
              <a:cs typeface="+mn-cs"/>
            </a:rPr>
            <a:t>Revisjons- og risikoutvalget</a:t>
          </a:r>
        </a:p>
      </dgm:t>
    </dgm:pt>
    <dgm:pt modelId="{7C2928D9-8AAC-451C-AA4E-E2B334ADA313}" type="parTrans" cxnId="{D4E8F91B-00F6-483F-8818-222481A39C16}">
      <dgm:prSet/>
      <dgm:spPr>
        <a:xfrm>
          <a:off x="1053344" y="408334"/>
          <a:ext cx="157414" cy="299225"/>
        </a:xfrm>
        <a:custGeom>
          <a:avLst/>
          <a:gdLst/>
          <a:ahLst/>
          <a:cxnLst/>
          <a:rect l="0" t="0" r="0" b="0"/>
          <a:pathLst>
            <a:path>
              <a:moveTo>
                <a:pt x="0" y="0"/>
              </a:moveTo>
              <a:lnTo>
                <a:pt x="0" y="299225"/>
              </a:lnTo>
              <a:lnTo>
                <a:pt x="157414" y="299225"/>
              </a:lnTo>
            </a:path>
          </a:pathLst>
        </a:custGeom>
        <a:noFill/>
        <a:ln w="25400" cap="flat" cmpd="sng" algn="ctr">
          <a:solidFill>
            <a:srgbClr val="84BD00">
              <a:shade val="60000"/>
              <a:hueOff val="0"/>
              <a:satOff val="0"/>
              <a:lumOff val="0"/>
              <a:alphaOff val="0"/>
            </a:srgbClr>
          </a:solidFill>
          <a:prstDash val="solid"/>
        </a:ln>
        <a:effectLst/>
      </dgm:spPr>
      <dgm:t>
        <a:bodyPr/>
        <a:lstStyle/>
        <a:p>
          <a:endParaRPr lang="nb-NO"/>
        </a:p>
      </dgm:t>
    </dgm:pt>
    <dgm:pt modelId="{327C7F45-95C3-4D58-ACDE-6B56B6CDBE94}" type="sibTrans" cxnId="{D4E8F91B-00F6-483F-8818-222481A39C16}">
      <dgm:prSet/>
      <dgm:spPr/>
      <dgm:t>
        <a:bodyPr/>
        <a:lstStyle/>
        <a:p>
          <a:endParaRPr lang="nb-NO"/>
        </a:p>
      </dgm:t>
    </dgm:pt>
    <dgm:pt modelId="{9E0DB1CD-E5A3-40D2-88AA-6F755F049D6A}">
      <dgm:prSet custT="1"/>
      <dgm:spPr>
        <a:xfrm>
          <a:off x="1112903" y="2497944"/>
          <a:ext cx="1247282" cy="286936"/>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nb-NO" sz="900" b="1" dirty="0" err="1">
              <a:solidFill>
                <a:sysClr val="windowText" lastClr="000000"/>
              </a:solidFill>
              <a:latin typeface="Lucida Sans"/>
              <a:ea typeface="+mn-ea"/>
              <a:cs typeface="+mn-cs"/>
            </a:rPr>
            <a:t>Forretningsområder</a:t>
          </a:r>
          <a:endParaRPr lang="nb-NO" sz="900" b="1" dirty="0">
            <a:solidFill>
              <a:sysClr val="windowText" lastClr="000000"/>
            </a:solidFill>
            <a:latin typeface="Lucida Sans"/>
            <a:ea typeface="+mn-ea"/>
            <a:cs typeface="+mn-cs"/>
          </a:endParaRPr>
        </a:p>
      </dgm:t>
    </dgm:pt>
    <dgm:pt modelId="{1C6BC045-CCFB-4711-8F26-5978AD640834}" type="parTrans" cxnId="{00B57DC6-A1EE-4B98-BC47-F3FA4D08E319}">
      <dgm:prSet/>
      <dgm:spPr>
        <a:xfrm>
          <a:off x="985631" y="1448477"/>
          <a:ext cx="91440" cy="1192935"/>
        </a:xfrm>
        <a:custGeom>
          <a:avLst/>
          <a:gdLst/>
          <a:ahLst/>
          <a:cxnLst/>
          <a:rect l="0" t="0" r="0" b="0"/>
          <a:pathLst>
            <a:path>
              <a:moveTo>
                <a:pt x="45720" y="0"/>
              </a:moveTo>
              <a:lnTo>
                <a:pt x="45720" y="1192935"/>
              </a:lnTo>
              <a:lnTo>
                <a:pt x="127272" y="1192935"/>
              </a:lnTo>
            </a:path>
          </a:pathLst>
        </a:custGeom>
        <a:noFill/>
        <a:ln w="25400" cap="flat" cmpd="sng" algn="ctr">
          <a:solidFill>
            <a:srgbClr val="84BD00">
              <a:shade val="80000"/>
              <a:hueOff val="0"/>
              <a:satOff val="0"/>
              <a:lumOff val="0"/>
              <a:alphaOff val="0"/>
            </a:srgbClr>
          </a:solidFill>
          <a:prstDash val="solid"/>
        </a:ln>
        <a:effectLst/>
      </dgm:spPr>
      <dgm:t>
        <a:bodyPr/>
        <a:lstStyle/>
        <a:p>
          <a:endParaRPr lang="nb-NO"/>
        </a:p>
      </dgm:t>
    </dgm:pt>
    <dgm:pt modelId="{9EBD0E56-F1B3-42E4-B8F7-C0BCD6302636}" type="sibTrans" cxnId="{00B57DC6-A1EE-4B98-BC47-F3FA4D08E319}">
      <dgm:prSet/>
      <dgm:spPr/>
      <dgm:t>
        <a:bodyPr/>
        <a:lstStyle/>
        <a:p>
          <a:endParaRPr lang="nb-NO"/>
        </a:p>
      </dgm:t>
    </dgm:pt>
    <dgm:pt modelId="{6B95C516-A228-4AB7-81B1-8C17BE426C29}" type="asst">
      <dgm:prSet custT="1"/>
      <dgm:spPr>
        <a:xfrm>
          <a:off x="1981571" y="1749883"/>
          <a:ext cx="1994105" cy="462502"/>
        </a:xfrm>
        <a:prstGeom prst="round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buNone/>
          </a:pPr>
          <a:r>
            <a:rPr lang="nb-NO" sz="900" b="1" dirty="0">
              <a:solidFill>
                <a:sysClr val="windowText" lastClr="000000"/>
              </a:solidFill>
              <a:latin typeface="Lucida Sans"/>
              <a:ea typeface="+mn-ea"/>
              <a:cs typeface="+mn-cs"/>
            </a:rPr>
            <a:t>Uavhengig kontroll :</a:t>
          </a:r>
        </a:p>
        <a:p>
          <a:pPr algn="l">
            <a:buNone/>
          </a:pPr>
          <a:r>
            <a:rPr lang="nb-NO" sz="800" b="0" dirty="0">
              <a:solidFill>
                <a:sysClr val="windowText" lastClr="000000"/>
              </a:solidFill>
              <a:latin typeface="Lucida Sans"/>
              <a:ea typeface="+mn-ea"/>
              <a:cs typeface="+mn-cs"/>
            </a:rPr>
            <a:t>               - Risikostyring/risikokontroll</a:t>
          </a:r>
        </a:p>
        <a:p>
          <a:pPr algn="l">
            <a:buNone/>
          </a:pPr>
          <a:r>
            <a:rPr lang="nb-NO" sz="800" b="0" dirty="0">
              <a:solidFill>
                <a:sysClr val="windowText" lastClr="000000"/>
              </a:solidFill>
              <a:latin typeface="Lucida Sans"/>
              <a:ea typeface="+mn-ea"/>
              <a:cs typeface="+mn-cs"/>
            </a:rPr>
            <a:t>               - </a:t>
          </a:r>
          <a:r>
            <a:rPr lang="nb-NO" sz="800" b="0" dirty="0" err="1">
              <a:solidFill>
                <a:sysClr val="windowText" lastClr="000000"/>
              </a:solidFill>
              <a:latin typeface="Lucida Sans"/>
              <a:ea typeface="+mn-ea"/>
              <a:cs typeface="+mn-cs"/>
            </a:rPr>
            <a:t>Compliance</a:t>
          </a:r>
          <a:endParaRPr lang="nb-NO" sz="800" b="0" dirty="0">
            <a:solidFill>
              <a:sysClr val="windowText" lastClr="000000"/>
            </a:solidFill>
            <a:latin typeface="Lucida Sans"/>
            <a:ea typeface="+mn-ea"/>
            <a:cs typeface="+mn-cs"/>
          </a:endParaRPr>
        </a:p>
      </dgm:t>
    </dgm:pt>
    <dgm:pt modelId="{04B0C1C4-CC42-4F57-9E62-193EBF90BEB7}" type="parTrans" cxnId="{A7428696-588B-43BD-AFD5-EE7F7E26FA57}">
      <dgm:prSet/>
      <dgm:spPr>
        <a:xfrm>
          <a:off x="1031351" y="1448477"/>
          <a:ext cx="950219" cy="532657"/>
        </a:xfrm>
        <a:custGeom>
          <a:avLst/>
          <a:gdLst/>
          <a:ahLst/>
          <a:cxnLst/>
          <a:rect l="0" t="0" r="0" b="0"/>
          <a:pathLst>
            <a:path>
              <a:moveTo>
                <a:pt x="0" y="0"/>
              </a:moveTo>
              <a:lnTo>
                <a:pt x="0" y="532657"/>
              </a:lnTo>
              <a:lnTo>
                <a:pt x="950219" y="532657"/>
              </a:lnTo>
            </a:path>
          </a:pathLst>
        </a:custGeom>
        <a:noFill/>
        <a:ln w="25400" cap="flat" cmpd="sng" algn="ctr">
          <a:solidFill>
            <a:srgbClr val="84BD00">
              <a:shade val="80000"/>
              <a:hueOff val="0"/>
              <a:satOff val="0"/>
              <a:lumOff val="0"/>
              <a:alphaOff val="0"/>
            </a:srgbClr>
          </a:solidFill>
          <a:prstDash val="solid"/>
        </a:ln>
        <a:effectLst/>
      </dgm:spPr>
      <dgm:t>
        <a:bodyPr/>
        <a:lstStyle/>
        <a:p>
          <a:endParaRPr lang="nb-NO"/>
        </a:p>
      </dgm:t>
    </dgm:pt>
    <dgm:pt modelId="{6A9D702B-16F6-45C3-AE25-492BF4EF85DA}" type="sibTrans" cxnId="{A7428696-588B-43BD-AFD5-EE7F7E26FA57}">
      <dgm:prSet/>
      <dgm:spPr/>
      <dgm:t>
        <a:bodyPr/>
        <a:lstStyle/>
        <a:p>
          <a:endParaRPr lang="nb-NO"/>
        </a:p>
      </dgm:t>
    </dgm:pt>
    <dgm:pt modelId="{B4D6DC77-BBCC-440C-B2A1-675CD8C48372}" type="pres">
      <dgm:prSet presAssocID="{2C5A7C6E-E77E-4E3C-B785-D59A46430931}" presName="hierChild1" presStyleCnt="0">
        <dgm:presLayoutVars>
          <dgm:orgChart val="1"/>
          <dgm:chPref val="1"/>
          <dgm:dir/>
          <dgm:animOne val="branch"/>
          <dgm:animLvl val="lvl"/>
          <dgm:resizeHandles/>
        </dgm:presLayoutVars>
      </dgm:prSet>
      <dgm:spPr/>
    </dgm:pt>
    <dgm:pt modelId="{0A93276A-84A9-405A-AE76-41EC3D45A59A}" type="pres">
      <dgm:prSet presAssocID="{98A4653B-2535-4184-8320-49EB463DDB72}" presName="hierRoot1" presStyleCnt="0">
        <dgm:presLayoutVars>
          <dgm:hierBranch val="init"/>
        </dgm:presLayoutVars>
      </dgm:prSet>
      <dgm:spPr/>
    </dgm:pt>
    <dgm:pt modelId="{1D8D41F7-037C-4F1D-B9BB-62E1F423E6A3}" type="pres">
      <dgm:prSet presAssocID="{98A4653B-2535-4184-8320-49EB463DDB72}" presName="rootComposite1" presStyleCnt="0"/>
      <dgm:spPr/>
    </dgm:pt>
    <dgm:pt modelId="{D19D8FE1-1A4B-41A9-A1F9-FA3C9A31286E}" type="pres">
      <dgm:prSet presAssocID="{98A4653B-2535-4184-8320-49EB463DDB72}" presName="rootText1" presStyleLbl="node0" presStyleIdx="0" presStyleCnt="2" custScaleX="108834" custScaleY="57799" custLinFactX="-8350" custLinFactNeighborX="-100000" custLinFactNeighborY="8596">
        <dgm:presLayoutVars>
          <dgm:chPref val="3"/>
        </dgm:presLayoutVars>
      </dgm:prSet>
      <dgm:spPr>
        <a:prstGeom prst="roundRect">
          <a:avLst/>
        </a:prstGeom>
      </dgm:spPr>
    </dgm:pt>
    <dgm:pt modelId="{7F21B5F5-D30F-4391-9C82-9250F5DB5623}" type="pres">
      <dgm:prSet presAssocID="{98A4653B-2535-4184-8320-49EB463DDB72}" presName="rootConnector1" presStyleLbl="node1" presStyleIdx="0" presStyleCnt="0"/>
      <dgm:spPr/>
    </dgm:pt>
    <dgm:pt modelId="{CF57606F-F019-4986-9945-FF53A2BB7AF3}" type="pres">
      <dgm:prSet presAssocID="{98A4653B-2535-4184-8320-49EB463DDB72}" presName="hierChild2" presStyleCnt="0"/>
      <dgm:spPr/>
    </dgm:pt>
    <dgm:pt modelId="{D604EAAB-2332-4618-A3CF-29282E1273AD}" type="pres">
      <dgm:prSet presAssocID="{EE76B85C-81AC-40F2-BC64-4968F806C5DA}" presName="Name37" presStyleLbl="parChTrans1D2" presStyleIdx="0" presStyleCnt="2"/>
      <dgm:spPr/>
    </dgm:pt>
    <dgm:pt modelId="{49E9EFB7-FAD5-47A2-B7D8-EE504A54981D}" type="pres">
      <dgm:prSet presAssocID="{A428DFD8-A37E-466A-B8F1-9C041F66925C}" presName="hierRoot2" presStyleCnt="0">
        <dgm:presLayoutVars>
          <dgm:hierBranch val="init"/>
        </dgm:presLayoutVars>
      </dgm:prSet>
      <dgm:spPr/>
    </dgm:pt>
    <dgm:pt modelId="{F1AEEA90-1F58-4ECD-B3F4-AF373620A79E}" type="pres">
      <dgm:prSet presAssocID="{A428DFD8-A37E-466A-B8F1-9C041F66925C}" presName="rootComposite" presStyleCnt="0"/>
      <dgm:spPr/>
    </dgm:pt>
    <dgm:pt modelId="{3C34AB5C-BA09-406E-8332-F307A076DE2C}" type="pres">
      <dgm:prSet presAssocID="{A428DFD8-A37E-466A-B8F1-9C041F66925C}" presName="rootText" presStyleLbl="node2" presStyleIdx="0" presStyleCnt="1" custScaleX="82708" custScaleY="63987" custLinFactX="-10145" custLinFactNeighborX="-100000" custLinFactNeighborY="-69600">
        <dgm:presLayoutVars>
          <dgm:chPref val="3"/>
        </dgm:presLayoutVars>
      </dgm:prSet>
      <dgm:spPr>
        <a:prstGeom prst="roundRect">
          <a:avLst/>
        </a:prstGeom>
      </dgm:spPr>
    </dgm:pt>
    <dgm:pt modelId="{73D3B244-5F65-4353-AA10-12DC9A155CFE}" type="pres">
      <dgm:prSet presAssocID="{A428DFD8-A37E-466A-B8F1-9C041F66925C}" presName="rootConnector" presStyleLbl="node2" presStyleIdx="0" presStyleCnt="1"/>
      <dgm:spPr/>
    </dgm:pt>
    <dgm:pt modelId="{372E7E5D-7731-4582-B968-56DDADCDE02C}" type="pres">
      <dgm:prSet presAssocID="{A428DFD8-A37E-466A-B8F1-9C041F66925C}" presName="hierChild4" presStyleCnt="0"/>
      <dgm:spPr/>
    </dgm:pt>
    <dgm:pt modelId="{F94576E6-FD08-4D2F-8B73-F119EC58287E}" type="pres">
      <dgm:prSet presAssocID="{1C6BC045-CCFB-4711-8F26-5978AD640834}" presName="Name37" presStyleLbl="parChTrans1D3" presStyleIdx="0" presStyleCnt="2"/>
      <dgm:spPr/>
    </dgm:pt>
    <dgm:pt modelId="{A4CB1723-F92A-41A1-8B51-7B875497AED8}" type="pres">
      <dgm:prSet presAssocID="{9E0DB1CD-E5A3-40D2-88AA-6F755F049D6A}" presName="hierRoot2" presStyleCnt="0">
        <dgm:presLayoutVars>
          <dgm:hierBranch val="init"/>
        </dgm:presLayoutVars>
      </dgm:prSet>
      <dgm:spPr/>
    </dgm:pt>
    <dgm:pt modelId="{EAE54145-6874-4C12-BBB5-0DA4D0C42110}" type="pres">
      <dgm:prSet presAssocID="{9E0DB1CD-E5A3-40D2-88AA-6F755F049D6A}" presName="rootComposite" presStyleCnt="0"/>
      <dgm:spPr/>
    </dgm:pt>
    <dgm:pt modelId="{371EE824-EE88-42BE-A8DB-242D86E6058D}" type="pres">
      <dgm:prSet presAssocID="{9E0DB1CD-E5A3-40D2-88AA-6F755F049D6A}" presName="rootText" presStyleLbl="node3" presStyleIdx="0" presStyleCnt="1" custScaleX="101802" custScaleY="46839" custLinFactX="-15895" custLinFactNeighborX="-100000" custLinFactNeighborY="-82287">
        <dgm:presLayoutVars>
          <dgm:chPref val="3"/>
        </dgm:presLayoutVars>
      </dgm:prSet>
      <dgm:spPr>
        <a:prstGeom prst="roundRect">
          <a:avLst/>
        </a:prstGeom>
      </dgm:spPr>
    </dgm:pt>
    <dgm:pt modelId="{C94DC9DF-6763-4C54-BF5F-782136C466CA}" type="pres">
      <dgm:prSet presAssocID="{9E0DB1CD-E5A3-40D2-88AA-6F755F049D6A}" presName="rootConnector" presStyleLbl="node3" presStyleIdx="0" presStyleCnt="1"/>
      <dgm:spPr/>
    </dgm:pt>
    <dgm:pt modelId="{3730FE3C-AA59-42DD-B669-CBBB607BB9FA}" type="pres">
      <dgm:prSet presAssocID="{9E0DB1CD-E5A3-40D2-88AA-6F755F049D6A}" presName="hierChild4" presStyleCnt="0"/>
      <dgm:spPr/>
    </dgm:pt>
    <dgm:pt modelId="{EC6A2E8D-4E49-4960-A675-1C148BA0B011}" type="pres">
      <dgm:prSet presAssocID="{9E0DB1CD-E5A3-40D2-88AA-6F755F049D6A}" presName="hierChild5" presStyleCnt="0"/>
      <dgm:spPr/>
    </dgm:pt>
    <dgm:pt modelId="{83311025-6BDC-4B0C-A5D1-39ADB3C84FDE}" type="pres">
      <dgm:prSet presAssocID="{A428DFD8-A37E-466A-B8F1-9C041F66925C}" presName="hierChild5" presStyleCnt="0"/>
      <dgm:spPr/>
    </dgm:pt>
    <dgm:pt modelId="{61B58455-FEED-4C18-A702-037A99AA8FCD}" type="pres">
      <dgm:prSet presAssocID="{04B0C1C4-CC42-4F57-9E62-193EBF90BEB7}" presName="Name111" presStyleLbl="parChTrans1D3" presStyleIdx="1" presStyleCnt="2"/>
      <dgm:spPr/>
    </dgm:pt>
    <dgm:pt modelId="{451C329F-C660-4E4F-8D5E-8432E1ACED90}" type="pres">
      <dgm:prSet presAssocID="{6B95C516-A228-4AB7-81B1-8C17BE426C29}" presName="hierRoot3" presStyleCnt="0">
        <dgm:presLayoutVars>
          <dgm:hierBranch val="init"/>
        </dgm:presLayoutVars>
      </dgm:prSet>
      <dgm:spPr/>
    </dgm:pt>
    <dgm:pt modelId="{46316D15-0721-4F99-A1C2-BF33F91CFD39}" type="pres">
      <dgm:prSet presAssocID="{6B95C516-A228-4AB7-81B1-8C17BE426C29}" presName="rootComposite3" presStyleCnt="0"/>
      <dgm:spPr/>
    </dgm:pt>
    <dgm:pt modelId="{67D48017-A442-4DE7-B2E9-2516D81C1F6E}" type="pres">
      <dgm:prSet presAssocID="{6B95C516-A228-4AB7-81B1-8C17BE426C29}" presName="rootText3" presStyleLbl="asst2" presStyleIdx="0" presStyleCnt="1" custScaleX="162757" custScaleY="75498" custLinFactX="40668" custLinFactNeighborX="100000" custLinFactNeighborY="-74650">
        <dgm:presLayoutVars>
          <dgm:chPref val="3"/>
        </dgm:presLayoutVars>
      </dgm:prSet>
      <dgm:spPr>
        <a:prstGeom prst="roundRect">
          <a:avLst/>
        </a:prstGeom>
      </dgm:spPr>
    </dgm:pt>
    <dgm:pt modelId="{F97F51C3-8BE8-416D-B1C0-1A3D8DD7FE2A}" type="pres">
      <dgm:prSet presAssocID="{6B95C516-A228-4AB7-81B1-8C17BE426C29}" presName="rootConnector3" presStyleLbl="asst2" presStyleIdx="0" presStyleCnt="1"/>
      <dgm:spPr/>
    </dgm:pt>
    <dgm:pt modelId="{349ECCBD-A817-4A95-930C-1EAB11EF543B}" type="pres">
      <dgm:prSet presAssocID="{6B95C516-A228-4AB7-81B1-8C17BE426C29}" presName="hierChild6" presStyleCnt="0"/>
      <dgm:spPr/>
    </dgm:pt>
    <dgm:pt modelId="{5D6E8AA4-6752-42E7-8029-A364754D56E8}" type="pres">
      <dgm:prSet presAssocID="{6B95C516-A228-4AB7-81B1-8C17BE426C29}" presName="hierChild7" presStyleCnt="0"/>
      <dgm:spPr/>
    </dgm:pt>
    <dgm:pt modelId="{10948CF9-9ABF-4026-95F0-56C30139373F}" type="pres">
      <dgm:prSet presAssocID="{98A4653B-2535-4184-8320-49EB463DDB72}" presName="hierChild3" presStyleCnt="0"/>
      <dgm:spPr/>
    </dgm:pt>
    <dgm:pt modelId="{C256C91C-5674-4E2A-86AC-4AC29118F1A2}" type="pres">
      <dgm:prSet presAssocID="{7C2928D9-8AAC-451C-AA4E-E2B334ADA313}" presName="Name111" presStyleLbl="parChTrans1D2" presStyleIdx="1" presStyleCnt="2"/>
      <dgm:spPr/>
    </dgm:pt>
    <dgm:pt modelId="{1A74B288-6313-4032-88E1-E4F918C2F04C}" type="pres">
      <dgm:prSet presAssocID="{628F83C1-38B0-4EFD-954E-4D5A0E5FF290}" presName="hierRoot3" presStyleCnt="0">
        <dgm:presLayoutVars>
          <dgm:hierBranch val="init"/>
        </dgm:presLayoutVars>
      </dgm:prSet>
      <dgm:spPr/>
    </dgm:pt>
    <dgm:pt modelId="{7A40DF62-3FCF-4FCC-8A81-06005E3B2895}" type="pres">
      <dgm:prSet presAssocID="{628F83C1-38B0-4EFD-954E-4D5A0E5FF290}" presName="rootComposite3" presStyleCnt="0"/>
      <dgm:spPr/>
    </dgm:pt>
    <dgm:pt modelId="{C44A48C7-544E-4878-ABE5-BD4C1F08E05C}" type="pres">
      <dgm:prSet presAssocID="{628F83C1-38B0-4EFD-954E-4D5A0E5FF290}" presName="rootText3" presStyleLbl="asst1" presStyleIdx="0" presStyleCnt="1" custScaleX="90152" custScaleY="73856" custLinFactNeighborX="5150" custLinFactNeighborY="-34559">
        <dgm:presLayoutVars>
          <dgm:chPref val="3"/>
        </dgm:presLayoutVars>
      </dgm:prSet>
      <dgm:spPr>
        <a:prstGeom prst="roundRect">
          <a:avLst/>
        </a:prstGeom>
      </dgm:spPr>
    </dgm:pt>
    <dgm:pt modelId="{B9E16B1F-DF22-49EE-8498-70013CC6AA86}" type="pres">
      <dgm:prSet presAssocID="{628F83C1-38B0-4EFD-954E-4D5A0E5FF290}" presName="rootConnector3" presStyleLbl="asst1" presStyleIdx="0" presStyleCnt="1"/>
      <dgm:spPr/>
    </dgm:pt>
    <dgm:pt modelId="{C3D97CA3-C69C-4EE9-A00A-A537C6F8810D}" type="pres">
      <dgm:prSet presAssocID="{628F83C1-38B0-4EFD-954E-4D5A0E5FF290}" presName="hierChild6" presStyleCnt="0"/>
      <dgm:spPr/>
    </dgm:pt>
    <dgm:pt modelId="{137D0629-E2B6-472E-8D3D-34FEBAAB2ACC}" type="pres">
      <dgm:prSet presAssocID="{628F83C1-38B0-4EFD-954E-4D5A0E5FF290}" presName="hierChild7" presStyleCnt="0"/>
      <dgm:spPr/>
    </dgm:pt>
    <dgm:pt modelId="{94EFA9CB-7F6F-4800-B4BA-310D197C2AB1}" type="pres">
      <dgm:prSet presAssocID="{96867D9A-1675-41DB-ADE9-0DC992866226}" presName="hierRoot1" presStyleCnt="0">
        <dgm:presLayoutVars>
          <dgm:hierBranch val="init"/>
        </dgm:presLayoutVars>
      </dgm:prSet>
      <dgm:spPr/>
    </dgm:pt>
    <dgm:pt modelId="{3006AB7F-769B-4AF2-A17A-E415744B9FB4}" type="pres">
      <dgm:prSet presAssocID="{96867D9A-1675-41DB-ADE9-0DC992866226}" presName="rootComposite1" presStyleCnt="0"/>
      <dgm:spPr/>
    </dgm:pt>
    <dgm:pt modelId="{792457CF-BFE1-4933-9D87-F7C92A9CA25F}" type="pres">
      <dgm:prSet presAssocID="{96867D9A-1675-41DB-ADE9-0DC992866226}" presName="rootText1" presStyleLbl="node0" presStyleIdx="1" presStyleCnt="2" custScaleX="76137" custScaleY="100080" custLinFactY="24135" custLinFactNeighborX="-43051" custLinFactNeighborY="100000">
        <dgm:presLayoutVars>
          <dgm:chPref val="3"/>
        </dgm:presLayoutVars>
      </dgm:prSet>
      <dgm:spPr>
        <a:prstGeom prst="flowChartDocument">
          <a:avLst/>
        </a:prstGeom>
      </dgm:spPr>
    </dgm:pt>
    <dgm:pt modelId="{A35232DC-46FB-43AA-890C-D47AD9D84262}" type="pres">
      <dgm:prSet presAssocID="{96867D9A-1675-41DB-ADE9-0DC992866226}" presName="rootConnector1" presStyleLbl="node1" presStyleIdx="0" presStyleCnt="0"/>
      <dgm:spPr/>
    </dgm:pt>
    <dgm:pt modelId="{2F293808-EA1C-4DA0-BA00-29D882B4425D}" type="pres">
      <dgm:prSet presAssocID="{96867D9A-1675-41DB-ADE9-0DC992866226}" presName="hierChild2" presStyleCnt="0"/>
      <dgm:spPr/>
    </dgm:pt>
    <dgm:pt modelId="{3013F223-A396-4C4A-BA75-F1A563930C16}" type="pres">
      <dgm:prSet presAssocID="{96867D9A-1675-41DB-ADE9-0DC992866226}" presName="hierChild3" presStyleCnt="0"/>
      <dgm:spPr/>
    </dgm:pt>
  </dgm:ptLst>
  <dgm:cxnLst>
    <dgm:cxn modelId="{D4E8F91B-00F6-483F-8818-222481A39C16}" srcId="{98A4653B-2535-4184-8320-49EB463DDB72}" destId="{628F83C1-38B0-4EFD-954E-4D5A0E5FF290}" srcOrd="1" destOrd="0" parTransId="{7C2928D9-8AAC-451C-AA4E-E2B334ADA313}" sibTransId="{327C7F45-95C3-4D58-ACDE-6B56B6CDBE94}"/>
    <dgm:cxn modelId="{5ACD321F-0D25-445F-8BAB-7B1EAACE5273}" type="presOf" srcId="{96867D9A-1675-41DB-ADE9-0DC992866226}" destId="{792457CF-BFE1-4933-9D87-F7C92A9CA25F}" srcOrd="0" destOrd="0" presId="urn:microsoft.com/office/officeart/2005/8/layout/orgChart1"/>
    <dgm:cxn modelId="{04B2EA31-406B-4746-B8CE-D6D47C9ED9B3}" type="presOf" srcId="{96867D9A-1675-41DB-ADE9-0DC992866226}" destId="{A35232DC-46FB-43AA-890C-D47AD9D84262}" srcOrd="1" destOrd="0" presId="urn:microsoft.com/office/officeart/2005/8/layout/orgChart1"/>
    <dgm:cxn modelId="{1DF06937-8F9C-40F2-B9C6-2D78D1EBB693}" type="presOf" srcId="{9E0DB1CD-E5A3-40D2-88AA-6F755F049D6A}" destId="{371EE824-EE88-42BE-A8DB-242D86E6058D}" srcOrd="0" destOrd="0" presId="urn:microsoft.com/office/officeart/2005/8/layout/orgChart1"/>
    <dgm:cxn modelId="{CCB1EA5F-E323-46C4-88D0-11BF26922AA6}" type="presOf" srcId="{98A4653B-2535-4184-8320-49EB463DDB72}" destId="{D19D8FE1-1A4B-41A9-A1F9-FA3C9A31286E}" srcOrd="0" destOrd="0" presId="urn:microsoft.com/office/officeart/2005/8/layout/orgChart1"/>
    <dgm:cxn modelId="{DF740263-D368-44D3-96C3-35AD65ADA3CC}" type="presOf" srcId="{2C5A7C6E-E77E-4E3C-B785-D59A46430931}" destId="{B4D6DC77-BBCC-440C-B2A1-675CD8C48372}" srcOrd="0" destOrd="0" presId="urn:microsoft.com/office/officeart/2005/8/layout/orgChart1"/>
    <dgm:cxn modelId="{4070EA46-C5BE-4F7E-A930-C4EE3F44FE5C}" srcId="{98A4653B-2535-4184-8320-49EB463DDB72}" destId="{A428DFD8-A37E-466A-B8F1-9C041F66925C}" srcOrd="0" destOrd="0" parTransId="{EE76B85C-81AC-40F2-BC64-4968F806C5DA}" sibTransId="{EE39DA70-E3B4-4291-88EE-95F08D3CA31F}"/>
    <dgm:cxn modelId="{ED63C349-F062-4812-8BB0-D16E32FCB3E8}" type="presOf" srcId="{6B95C516-A228-4AB7-81B1-8C17BE426C29}" destId="{F97F51C3-8BE8-416D-B1C0-1A3D8DD7FE2A}" srcOrd="1" destOrd="0" presId="urn:microsoft.com/office/officeart/2005/8/layout/orgChart1"/>
    <dgm:cxn modelId="{495D9686-5B14-4E07-8EDB-BBFA336E373C}" type="presOf" srcId="{A428DFD8-A37E-466A-B8F1-9C041F66925C}" destId="{3C34AB5C-BA09-406E-8332-F307A076DE2C}" srcOrd="0" destOrd="0" presId="urn:microsoft.com/office/officeart/2005/8/layout/orgChart1"/>
    <dgm:cxn modelId="{EC33428B-EBF0-493F-A96C-46DBD85F8B21}" type="presOf" srcId="{EE76B85C-81AC-40F2-BC64-4968F806C5DA}" destId="{D604EAAB-2332-4618-A3CF-29282E1273AD}" srcOrd="0" destOrd="0" presId="urn:microsoft.com/office/officeart/2005/8/layout/orgChart1"/>
    <dgm:cxn modelId="{A7428696-588B-43BD-AFD5-EE7F7E26FA57}" srcId="{A428DFD8-A37E-466A-B8F1-9C041F66925C}" destId="{6B95C516-A228-4AB7-81B1-8C17BE426C29}" srcOrd="1" destOrd="0" parTransId="{04B0C1C4-CC42-4F57-9E62-193EBF90BEB7}" sibTransId="{6A9D702B-16F6-45C3-AE25-492BF4EF85DA}"/>
    <dgm:cxn modelId="{7DA91998-6EF0-489F-8E6A-76DF8C9BB154}" type="presOf" srcId="{9E0DB1CD-E5A3-40D2-88AA-6F755F049D6A}" destId="{C94DC9DF-6763-4C54-BF5F-782136C466CA}" srcOrd="1" destOrd="0" presId="urn:microsoft.com/office/officeart/2005/8/layout/orgChart1"/>
    <dgm:cxn modelId="{CD9E1E98-59B1-40E0-B951-271E6B8DEB65}" srcId="{2C5A7C6E-E77E-4E3C-B785-D59A46430931}" destId="{98A4653B-2535-4184-8320-49EB463DDB72}" srcOrd="0" destOrd="0" parTransId="{FD8CA311-98D0-4A6F-B27F-3A5E9848D3F3}" sibTransId="{CD126918-CC39-42C3-B73C-F35FD8947131}"/>
    <dgm:cxn modelId="{7B1CDCA9-F192-459F-9BB9-3338AB5F98E8}" type="presOf" srcId="{628F83C1-38B0-4EFD-954E-4D5A0E5FF290}" destId="{C44A48C7-544E-4878-ABE5-BD4C1F08E05C}" srcOrd="0" destOrd="0" presId="urn:microsoft.com/office/officeart/2005/8/layout/orgChart1"/>
    <dgm:cxn modelId="{4E4D6BAB-4855-40E4-B543-C4D6A9CB7E1C}" type="presOf" srcId="{7C2928D9-8AAC-451C-AA4E-E2B334ADA313}" destId="{C256C91C-5674-4E2A-86AC-4AC29118F1A2}" srcOrd="0" destOrd="0" presId="urn:microsoft.com/office/officeart/2005/8/layout/orgChart1"/>
    <dgm:cxn modelId="{1D5687AE-72CD-403E-A7E7-6CDEE3BDAAF1}" type="presOf" srcId="{1C6BC045-CCFB-4711-8F26-5978AD640834}" destId="{F94576E6-FD08-4D2F-8B73-F119EC58287E}" srcOrd="0" destOrd="0" presId="urn:microsoft.com/office/officeart/2005/8/layout/orgChart1"/>
    <dgm:cxn modelId="{30B46AB9-460A-4D10-AF9F-7306F461B8CB}" srcId="{2C5A7C6E-E77E-4E3C-B785-D59A46430931}" destId="{96867D9A-1675-41DB-ADE9-0DC992866226}" srcOrd="1" destOrd="0" parTransId="{C4BF2B84-591B-4898-B8E5-9B9ED298E424}" sibTransId="{737E5F21-D5B5-42F1-8A11-A0577B685ABC}"/>
    <dgm:cxn modelId="{00B57DC6-A1EE-4B98-BC47-F3FA4D08E319}" srcId="{A428DFD8-A37E-466A-B8F1-9C041F66925C}" destId="{9E0DB1CD-E5A3-40D2-88AA-6F755F049D6A}" srcOrd="0" destOrd="0" parTransId="{1C6BC045-CCFB-4711-8F26-5978AD640834}" sibTransId="{9EBD0E56-F1B3-42E4-B8F7-C0BCD6302636}"/>
    <dgm:cxn modelId="{E73B03CF-53BB-4238-A36D-86E55DB331A9}" type="presOf" srcId="{628F83C1-38B0-4EFD-954E-4D5A0E5FF290}" destId="{B9E16B1F-DF22-49EE-8498-70013CC6AA86}" srcOrd="1" destOrd="0" presId="urn:microsoft.com/office/officeart/2005/8/layout/orgChart1"/>
    <dgm:cxn modelId="{810CC1E1-A454-412E-9965-F1901AAECD0B}" type="presOf" srcId="{98A4653B-2535-4184-8320-49EB463DDB72}" destId="{7F21B5F5-D30F-4391-9C82-9250F5DB5623}" srcOrd="1" destOrd="0" presId="urn:microsoft.com/office/officeart/2005/8/layout/orgChart1"/>
    <dgm:cxn modelId="{C88E47E2-7E6A-4BC2-AFFE-5986D4D0316E}" type="presOf" srcId="{A428DFD8-A37E-466A-B8F1-9C041F66925C}" destId="{73D3B244-5F65-4353-AA10-12DC9A155CFE}" srcOrd="1" destOrd="0" presId="urn:microsoft.com/office/officeart/2005/8/layout/orgChart1"/>
    <dgm:cxn modelId="{C811C2E3-2D30-45C8-8745-622D4E3B33C4}" type="presOf" srcId="{6B95C516-A228-4AB7-81B1-8C17BE426C29}" destId="{67D48017-A442-4DE7-B2E9-2516D81C1F6E}" srcOrd="0" destOrd="0" presId="urn:microsoft.com/office/officeart/2005/8/layout/orgChart1"/>
    <dgm:cxn modelId="{CE73A7EB-161A-4651-864C-DDBB81DA3115}" type="presOf" srcId="{04B0C1C4-CC42-4F57-9E62-193EBF90BEB7}" destId="{61B58455-FEED-4C18-A702-037A99AA8FCD}" srcOrd="0" destOrd="0" presId="urn:microsoft.com/office/officeart/2005/8/layout/orgChart1"/>
    <dgm:cxn modelId="{016E9910-1A8F-4891-A93B-9C0396EA4AA2}" type="presParOf" srcId="{B4D6DC77-BBCC-440C-B2A1-675CD8C48372}" destId="{0A93276A-84A9-405A-AE76-41EC3D45A59A}" srcOrd="0" destOrd="0" presId="urn:microsoft.com/office/officeart/2005/8/layout/orgChart1"/>
    <dgm:cxn modelId="{4DBD2F39-2DEB-4B8C-9A4F-6DF00861193C}" type="presParOf" srcId="{0A93276A-84A9-405A-AE76-41EC3D45A59A}" destId="{1D8D41F7-037C-4F1D-B9BB-62E1F423E6A3}" srcOrd="0" destOrd="0" presId="urn:microsoft.com/office/officeart/2005/8/layout/orgChart1"/>
    <dgm:cxn modelId="{E6F75024-17D5-4012-AFA6-4FBB03BA8F32}" type="presParOf" srcId="{1D8D41F7-037C-4F1D-B9BB-62E1F423E6A3}" destId="{D19D8FE1-1A4B-41A9-A1F9-FA3C9A31286E}" srcOrd="0" destOrd="0" presId="urn:microsoft.com/office/officeart/2005/8/layout/orgChart1"/>
    <dgm:cxn modelId="{89F02C6C-1D46-4B87-9413-ACD774A18647}" type="presParOf" srcId="{1D8D41F7-037C-4F1D-B9BB-62E1F423E6A3}" destId="{7F21B5F5-D30F-4391-9C82-9250F5DB5623}" srcOrd="1" destOrd="0" presId="urn:microsoft.com/office/officeart/2005/8/layout/orgChart1"/>
    <dgm:cxn modelId="{94F2C1A1-C0D3-41D5-A2CD-AE3820CA6B84}" type="presParOf" srcId="{0A93276A-84A9-405A-AE76-41EC3D45A59A}" destId="{CF57606F-F019-4986-9945-FF53A2BB7AF3}" srcOrd="1" destOrd="0" presId="urn:microsoft.com/office/officeart/2005/8/layout/orgChart1"/>
    <dgm:cxn modelId="{0A3F5343-E8BF-4DB8-9B84-29FCEF172564}" type="presParOf" srcId="{CF57606F-F019-4986-9945-FF53A2BB7AF3}" destId="{D604EAAB-2332-4618-A3CF-29282E1273AD}" srcOrd="0" destOrd="0" presId="urn:microsoft.com/office/officeart/2005/8/layout/orgChart1"/>
    <dgm:cxn modelId="{E71DE537-5FC3-498F-8C52-105A503F1946}" type="presParOf" srcId="{CF57606F-F019-4986-9945-FF53A2BB7AF3}" destId="{49E9EFB7-FAD5-47A2-B7D8-EE504A54981D}" srcOrd="1" destOrd="0" presId="urn:microsoft.com/office/officeart/2005/8/layout/orgChart1"/>
    <dgm:cxn modelId="{CC8F6C45-7F36-4BC4-B329-570D9DB11C9F}" type="presParOf" srcId="{49E9EFB7-FAD5-47A2-B7D8-EE504A54981D}" destId="{F1AEEA90-1F58-4ECD-B3F4-AF373620A79E}" srcOrd="0" destOrd="0" presId="urn:microsoft.com/office/officeart/2005/8/layout/orgChart1"/>
    <dgm:cxn modelId="{87EEFED2-3AE3-4F02-9940-B3AC0B6235A5}" type="presParOf" srcId="{F1AEEA90-1F58-4ECD-B3F4-AF373620A79E}" destId="{3C34AB5C-BA09-406E-8332-F307A076DE2C}" srcOrd="0" destOrd="0" presId="urn:microsoft.com/office/officeart/2005/8/layout/orgChart1"/>
    <dgm:cxn modelId="{B36F88FA-F624-4607-A7B8-79DE313BFFA5}" type="presParOf" srcId="{F1AEEA90-1F58-4ECD-B3F4-AF373620A79E}" destId="{73D3B244-5F65-4353-AA10-12DC9A155CFE}" srcOrd="1" destOrd="0" presId="urn:microsoft.com/office/officeart/2005/8/layout/orgChart1"/>
    <dgm:cxn modelId="{E5318A78-D75D-414F-A40F-96B0308CCCE6}" type="presParOf" srcId="{49E9EFB7-FAD5-47A2-B7D8-EE504A54981D}" destId="{372E7E5D-7731-4582-B968-56DDADCDE02C}" srcOrd="1" destOrd="0" presId="urn:microsoft.com/office/officeart/2005/8/layout/orgChart1"/>
    <dgm:cxn modelId="{EBFF75B5-E179-44C5-B114-B1102233DBD2}" type="presParOf" srcId="{372E7E5D-7731-4582-B968-56DDADCDE02C}" destId="{F94576E6-FD08-4D2F-8B73-F119EC58287E}" srcOrd="0" destOrd="0" presId="urn:microsoft.com/office/officeart/2005/8/layout/orgChart1"/>
    <dgm:cxn modelId="{9288A822-8299-496F-B60C-8B5FE7CEC147}" type="presParOf" srcId="{372E7E5D-7731-4582-B968-56DDADCDE02C}" destId="{A4CB1723-F92A-41A1-8B51-7B875497AED8}" srcOrd="1" destOrd="0" presId="urn:microsoft.com/office/officeart/2005/8/layout/orgChart1"/>
    <dgm:cxn modelId="{8BD51254-1989-433F-8537-39107E73FE03}" type="presParOf" srcId="{A4CB1723-F92A-41A1-8B51-7B875497AED8}" destId="{EAE54145-6874-4C12-BBB5-0DA4D0C42110}" srcOrd="0" destOrd="0" presId="urn:microsoft.com/office/officeart/2005/8/layout/orgChart1"/>
    <dgm:cxn modelId="{B53033FC-4A8C-4EF2-AC57-C901B002EB44}" type="presParOf" srcId="{EAE54145-6874-4C12-BBB5-0DA4D0C42110}" destId="{371EE824-EE88-42BE-A8DB-242D86E6058D}" srcOrd="0" destOrd="0" presId="urn:microsoft.com/office/officeart/2005/8/layout/orgChart1"/>
    <dgm:cxn modelId="{8466FEC8-322B-4F1B-9E7B-384AF57AFF70}" type="presParOf" srcId="{EAE54145-6874-4C12-BBB5-0DA4D0C42110}" destId="{C94DC9DF-6763-4C54-BF5F-782136C466CA}" srcOrd="1" destOrd="0" presId="urn:microsoft.com/office/officeart/2005/8/layout/orgChart1"/>
    <dgm:cxn modelId="{19144BCE-8568-40D8-B4CB-B3CA23FC3136}" type="presParOf" srcId="{A4CB1723-F92A-41A1-8B51-7B875497AED8}" destId="{3730FE3C-AA59-42DD-B669-CBBB607BB9FA}" srcOrd="1" destOrd="0" presId="urn:microsoft.com/office/officeart/2005/8/layout/orgChart1"/>
    <dgm:cxn modelId="{FDCFC180-1782-43A1-A835-CACAE88006D5}" type="presParOf" srcId="{A4CB1723-F92A-41A1-8B51-7B875497AED8}" destId="{EC6A2E8D-4E49-4960-A675-1C148BA0B011}" srcOrd="2" destOrd="0" presId="urn:microsoft.com/office/officeart/2005/8/layout/orgChart1"/>
    <dgm:cxn modelId="{DDD47979-B24F-4B15-8550-2583C9BC4B85}" type="presParOf" srcId="{49E9EFB7-FAD5-47A2-B7D8-EE504A54981D}" destId="{83311025-6BDC-4B0C-A5D1-39ADB3C84FDE}" srcOrd="2" destOrd="0" presId="urn:microsoft.com/office/officeart/2005/8/layout/orgChart1"/>
    <dgm:cxn modelId="{94364229-6EB6-4A79-8FDB-362A5650BE0A}" type="presParOf" srcId="{83311025-6BDC-4B0C-A5D1-39ADB3C84FDE}" destId="{61B58455-FEED-4C18-A702-037A99AA8FCD}" srcOrd="0" destOrd="0" presId="urn:microsoft.com/office/officeart/2005/8/layout/orgChart1"/>
    <dgm:cxn modelId="{40D0CF88-A0FB-4DB1-9BA9-B32E158D94BA}" type="presParOf" srcId="{83311025-6BDC-4B0C-A5D1-39ADB3C84FDE}" destId="{451C329F-C660-4E4F-8D5E-8432E1ACED90}" srcOrd="1" destOrd="0" presId="urn:microsoft.com/office/officeart/2005/8/layout/orgChart1"/>
    <dgm:cxn modelId="{FBF59BE5-54A2-4D8C-BAFE-D79F2D105388}" type="presParOf" srcId="{451C329F-C660-4E4F-8D5E-8432E1ACED90}" destId="{46316D15-0721-4F99-A1C2-BF33F91CFD39}" srcOrd="0" destOrd="0" presId="urn:microsoft.com/office/officeart/2005/8/layout/orgChart1"/>
    <dgm:cxn modelId="{3F461E2B-E5EA-472A-95EC-5B7FC1FDC171}" type="presParOf" srcId="{46316D15-0721-4F99-A1C2-BF33F91CFD39}" destId="{67D48017-A442-4DE7-B2E9-2516D81C1F6E}" srcOrd="0" destOrd="0" presId="urn:microsoft.com/office/officeart/2005/8/layout/orgChart1"/>
    <dgm:cxn modelId="{62F097C2-055B-4406-91AD-35E9FA951562}" type="presParOf" srcId="{46316D15-0721-4F99-A1C2-BF33F91CFD39}" destId="{F97F51C3-8BE8-416D-B1C0-1A3D8DD7FE2A}" srcOrd="1" destOrd="0" presId="urn:microsoft.com/office/officeart/2005/8/layout/orgChart1"/>
    <dgm:cxn modelId="{BEF14789-C6F1-4908-B04B-9583AE0739C8}" type="presParOf" srcId="{451C329F-C660-4E4F-8D5E-8432E1ACED90}" destId="{349ECCBD-A817-4A95-930C-1EAB11EF543B}" srcOrd="1" destOrd="0" presId="urn:microsoft.com/office/officeart/2005/8/layout/orgChart1"/>
    <dgm:cxn modelId="{29D84926-FB1F-4D01-BB85-A03690D5DEBC}" type="presParOf" srcId="{451C329F-C660-4E4F-8D5E-8432E1ACED90}" destId="{5D6E8AA4-6752-42E7-8029-A364754D56E8}" srcOrd="2" destOrd="0" presId="urn:microsoft.com/office/officeart/2005/8/layout/orgChart1"/>
    <dgm:cxn modelId="{B3EFE8F5-2681-4409-982F-868CD5AE5397}" type="presParOf" srcId="{0A93276A-84A9-405A-AE76-41EC3D45A59A}" destId="{10948CF9-9ABF-4026-95F0-56C30139373F}" srcOrd="2" destOrd="0" presId="urn:microsoft.com/office/officeart/2005/8/layout/orgChart1"/>
    <dgm:cxn modelId="{4C65460D-9045-450D-B4EF-BF234B4E4E30}" type="presParOf" srcId="{10948CF9-9ABF-4026-95F0-56C30139373F}" destId="{C256C91C-5674-4E2A-86AC-4AC29118F1A2}" srcOrd="0" destOrd="0" presId="urn:microsoft.com/office/officeart/2005/8/layout/orgChart1"/>
    <dgm:cxn modelId="{9516D878-E5E9-4D80-B921-CDCFA1E6BFFE}" type="presParOf" srcId="{10948CF9-9ABF-4026-95F0-56C30139373F}" destId="{1A74B288-6313-4032-88E1-E4F918C2F04C}" srcOrd="1" destOrd="0" presId="urn:microsoft.com/office/officeart/2005/8/layout/orgChart1"/>
    <dgm:cxn modelId="{2DDD6A89-0B4C-439E-B1C9-198A8354493F}" type="presParOf" srcId="{1A74B288-6313-4032-88E1-E4F918C2F04C}" destId="{7A40DF62-3FCF-4FCC-8A81-06005E3B2895}" srcOrd="0" destOrd="0" presId="urn:microsoft.com/office/officeart/2005/8/layout/orgChart1"/>
    <dgm:cxn modelId="{A7BDDC9C-0156-4731-951A-BFD22014295E}" type="presParOf" srcId="{7A40DF62-3FCF-4FCC-8A81-06005E3B2895}" destId="{C44A48C7-544E-4878-ABE5-BD4C1F08E05C}" srcOrd="0" destOrd="0" presId="urn:microsoft.com/office/officeart/2005/8/layout/orgChart1"/>
    <dgm:cxn modelId="{BE5815A2-284E-4C0A-894C-FAEAB064CA25}" type="presParOf" srcId="{7A40DF62-3FCF-4FCC-8A81-06005E3B2895}" destId="{B9E16B1F-DF22-49EE-8498-70013CC6AA86}" srcOrd="1" destOrd="0" presId="urn:microsoft.com/office/officeart/2005/8/layout/orgChart1"/>
    <dgm:cxn modelId="{6F51F181-E242-4F5A-83B8-B311F0BE6DA2}" type="presParOf" srcId="{1A74B288-6313-4032-88E1-E4F918C2F04C}" destId="{C3D97CA3-C69C-4EE9-A00A-A537C6F8810D}" srcOrd="1" destOrd="0" presId="urn:microsoft.com/office/officeart/2005/8/layout/orgChart1"/>
    <dgm:cxn modelId="{0B244D30-5A9C-4C50-B14B-1DD2E0BCB037}" type="presParOf" srcId="{1A74B288-6313-4032-88E1-E4F918C2F04C}" destId="{137D0629-E2B6-472E-8D3D-34FEBAAB2ACC}" srcOrd="2" destOrd="0" presId="urn:microsoft.com/office/officeart/2005/8/layout/orgChart1"/>
    <dgm:cxn modelId="{25813C91-4036-4AFA-8DBC-6CA714412CED}" type="presParOf" srcId="{B4D6DC77-BBCC-440C-B2A1-675CD8C48372}" destId="{94EFA9CB-7F6F-4800-B4BA-310D197C2AB1}" srcOrd="1" destOrd="0" presId="urn:microsoft.com/office/officeart/2005/8/layout/orgChart1"/>
    <dgm:cxn modelId="{0F5E78E7-A4CC-4F1C-A877-F748127DAEC5}" type="presParOf" srcId="{94EFA9CB-7F6F-4800-B4BA-310D197C2AB1}" destId="{3006AB7F-769B-4AF2-A17A-E415744B9FB4}" srcOrd="0" destOrd="0" presId="urn:microsoft.com/office/officeart/2005/8/layout/orgChart1"/>
    <dgm:cxn modelId="{B7FDD131-567F-4F2D-BBA4-E162E24F39BE}" type="presParOf" srcId="{3006AB7F-769B-4AF2-A17A-E415744B9FB4}" destId="{792457CF-BFE1-4933-9D87-F7C92A9CA25F}" srcOrd="0" destOrd="0" presId="urn:microsoft.com/office/officeart/2005/8/layout/orgChart1"/>
    <dgm:cxn modelId="{69667143-D0B3-4477-8274-A456E59AF7CB}" type="presParOf" srcId="{3006AB7F-769B-4AF2-A17A-E415744B9FB4}" destId="{A35232DC-46FB-43AA-890C-D47AD9D84262}" srcOrd="1" destOrd="0" presId="urn:microsoft.com/office/officeart/2005/8/layout/orgChart1"/>
    <dgm:cxn modelId="{31DEC2EF-8D3E-4B3A-8EC7-9849CE5889F5}" type="presParOf" srcId="{94EFA9CB-7F6F-4800-B4BA-310D197C2AB1}" destId="{2F293808-EA1C-4DA0-BA00-29D882B4425D}" srcOrd="1" destOrd="0" presId="urn:microsoft.com/office/officeart/2005/8/layout/orgChart1"/>
    <dgm:cxn modelId="{ABAFB8FF-59BA-442C-8019-3A45840DC17F}" type="presParOf" srcId="{94EFA9CB-7F6F-4800-B4BA-310D197C2AB1}" destId="{3013F223-A396-4C4A-BA75-F1A563930C16}"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56C91C-5674-4E2A-86AC-4AC29118F1A2}">
      <dsp:nvSpPr>
        <dsp:cNvPr id="0" name=""/>
        <dsp:cNvSpPr/>
      </dsp:nvSpPr>
      <dsp:spPr>
        <a:xfrm>
          <a:off x="1053344" y="408334"/>
          <a:ext cx="157414" cy="299225"/>
        </a:xfrm>
        <a:custGeom>
          <a:avLst/>
          <a:gdLst/>
          <a:ahLst/>
          <a:cxnLst/>
          <a:rect l="0" t="0" r="0" b="0"/>
          <a:pathLst>
            <a:path>
              <a:moveTo>
                <a:pt x="0" y="0"/>
              </a:moveTo>
              <a:lnTo>
                <a:pt x="0" y="299225"/>
              </a:lnTo>
              <a:lnTo>
                <a:pt x="157414" y="299225"/>
              </a:lnTo>
            </a:path>
          </a:pathLst>
        </a:custGeom>
        <a:noFill/>
        <a:ln w="25400" cap="flat" cmpd="sng" algn="ctr">
          <a:solidFill>
            <a:srgbClr val="84BD00">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1B58455-FEED-4C18-A702-037A99AA8FCD}">
      <dsp:nvSpPr>
        <dsp:cNvPr id="0" name=""/>
        <dsp:cNvSpPr/>
      </dsp:nvSpPr>
      <dsp:spPr>
        <a:xfrm>
          <a:off x="1031351" y="1448477"/>
          <a:ext cx="950219" cy="532657"/>
        </a:xfrm>
        <a:custGeom>
          <a:avLst/>
          <a:gdLst/>
          <a:ahLst/>
          <a:cxnLst/>
          <a:rect l="0" t="0" r="0" b="0"/>
          <a:pathLst>
            <a:path>
              <a:moveTo>
                <a:pt x="0" y="0"/>
              </a:moveTo>
              <a:lnTo>
                <a:pt x="0" y="532657"/>
              </a:lnTo>
              <a:lnTo>
                <a:pt x="950219" y="532657"/>
              </a:lnTo>
            </a:path>
          </a:pathLst>
        </a:custGeom>
        <a:noFill/>
        <a:ln w="25400" cap="flat" cmpd="sng" algn="ctr">
          <a:solidFill>
            <a:srgbClr val="84BD00">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4576E6-FD08-4D2F-8B73-F119EC58287E}">
      <dsp:nvSpPr>
        <dsp:cNvPr id="0" name=""/>
        <dsp:cNvSpPr/>
      </dsp:nvSpPr>
      <dsp:spPr>
        <a:xfrm>
          <a:off x="985631" y="1448477"/>
          <a:ext cx="91440" cy="1192935"/>
        </a:xfrm>
        <a:custGeom>
          <a:avLst/>
          <a:gdLst/>
          <a:ahLst/>
          <a:cxnLst/>
          <a:rect l="0" t="0" r="0" b="0"/>
          <a:pathLst>
            <a:path>
              <a:moveTo>
                <a:pt x="45720" y="0"/>
              </a:moveTo>
              <a:lnTo>
                <a:pt x="45720" y="1192935"/>
              </a:lnTo>
              <a:lnTo>
                <a:pt x="127272" y="1192935"/>
              </a:lnTo>
            </a:path>
          </a:pathLst>
        </a:custGeom>
        <a:noFill/>
        <a:ln w="25400" cap="flat" cmpd="sng" algn="ctr">
          <a:solidFill>
            <a:srgbClr val="84BD00">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604EAAB-2332-4618-A3CF-29282E1273AD}">
      <dsp:nvSpPr>
        <dsp:cNvPr id="0" name=""/>
        <dsp:cNvSpPr/>
      </dsp:nvSpPr>
      <dsp:spPr>
        <a:xfrm>
          <a:off x="985631" y="408334"/>
          <a:ext cx="91440" cy="648157"/>
        </a:xfrm>
        <a:custGeom>
          <a:avLst/>
          <a:gdLst/>
          <a:ahLst/>
          <a:cxnLst/>
          <a:rect l="0" t="0" r="0" b="0"/>
          <a:pathLst>
            <a:path>
              <a:moveTo>
                <a:pt x="67712" y="0"/>
              </a:moveTo>
              <a:lnTo>
                <a:pt x="67712" y="519511"/>
              </a:lnTo>
              <a:lnTo>
                <a:pt x="45720" y="519511"/>
              </a:lnTo>
              <a:lnTo>
                <a:pt x="45720" y="648157"/>
              </a:lnTo>
            </a:path>
          </a:pathLst>
        </a:custGeom>
        <a:noFill/>
        <a:ln w="25400" cap="flat" cmpd="sng" algn="ctr">
          <a:solidFill>
            <a:srgbClr val="84BD00">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9D8FE1-1A4B-41A9-A1F9-FA3C9A31286E}">
      <dsp:nvSpPr>
        <dsp:cNvPr id="0" name=""/>
        <dsp:cNvSpPr/>
      </dsp:nvSpPr>
      <dsp:spPr>
        <a:xfrm>
          <a:off x="386624" y="54256"/>
          <a:ext cx="1333438" cy="354077"/>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Styret</a:t>
          </a:r>
        </a:p>
      </dsp:txBody>
      <dsp:txXfrm>
        <a:off x="403909" y="71541"/>
        <a:ext cx="1298868" cy="319507"/>
      </dsp:txXfrm>
    </dsp:sp>
    <dsp:sp modelId="{3C34AB5C-BA09-406E-8332-F307A076DE2C}">
      <dsp:nvSpPr>
        <dsp:cNvPr id="0" name=""/>
        <dsp:cNvSpPr/>
      </dsp:nvSpPr>
      <dsp:spPr>
        <a:xfrm>
          <a:off x="524680" y="1056491"/>
          <a:ext cx="1013341" cy="391985"/>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100000"/>
            </a:lnSpc>
            <a:spcBef>
              <a:spcPct val="0"/>
            </a:spcBef>
            <a:spcAft>
              <a:spcPts val="0"/>
            </a:spcAft>
            <a:buNone/>
          </a:pPr>
          <a:r>
            <a:rPr lang="nb-NO" sz="900" b="1" kern="1200" dirty="0" err="1">
              <a:solidFill>
                <a:sysClr val="windowText" lastClr="000000"/>
              </a:solidFill>
              <a:latin typeface="Lucida Sans"/>
              <a:ea typeface="+mn-ea"/>
              <a:cs typeface="+mn-cs"/>
            </a:rPr>
            <a:t>Adm.banksjef</a:t>
          </a:r>
          <a:endParaRPr lang="nb-NO" sz="900" b="1" kern="1200" dirty="0">
            <a:solidFill>
              <a:sysClr val="windowText" lastClr="000000"/>
            </a:solidFill>
            <a:latin typeface="Lucida Sans"/>
            <a:ea typeface="+mn-ea"/>
            <a:cs typeface="+mn-cs"/>
          </a:endParaRPr>
        </a:p>
      </dsp:txBody>
      <dsp:txXfrm>
        <a:off x="543815" y="1075626"/>
        <a:ext cx="975071" cy="353715"/>
      </dsp:txXfrm>
    </dsp:sp>
    <dsp:sp modelId="{371EE824-EE88-42BE-A8DB-242D86E6058D}">
      <dsp:nvSpPr>
        <dsp:cNvPr id="0" name=""/>
        <dsp:cNvSpPr/>
      </dsp:nvSpPr>
      <dsp:spPr>
        <a:xfrm>
          <a:off x="1112903" y="2497944"/>
          <a:ext cx="1247282" cy="286936"/>
        </a:xfrm>
        <a:prstGeom prst="roundRect">
          <a:avLst/>
        </a:prstGeom>
        <a:gradFill rotWithShape="0">
          <a:gsLst>
            <a:gs pos="0">
              <a:srgbClr val="84BD00">
                <a:hueOff val="0"/>
                <a:satOff val="0"/>
                <a:lumOff val="0"/>
                <a:alphaOff val="0"/>
                <a:tint val="50000"/>
                <a:satMod val="300000"/>
              </a:srgbClr>
            </a:gs>
            <a:gs pos="35000">
              <a:srgbClr val="84BD00">
                <a:hueOff val="0"/>
                <a:satOff val="0"/>
                <a:lumOff val="0"/>
                <a:alphaOff val="0"/>
                <a:tint val="37000"/>
                <a:satMod val="300000"/>
              </a:srgbClr>
            </a:gs>
            <a:gs pos="100000">
              <a:srgbClr val="84BD00">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err="1">
              <a:solidFill>
                <a:sysClr val="windowText" lastClr="000000"/>
              </a:solidFill>
              <a:latin typeface="Lucida Sans"/>
              <a:ea typeface="+mn-ea"/>
              <a:cs typeface="+mn-cs"/>
            </a:rPr>
            <a:t>Forretningsområder</a:t>
          </a:r>
          <a:endParaRPr lang="nb-NO" sz="900" b="1" kern="1200" dirty="0">
            <a:solidFill>
              <a:sysClr val="windowText" lastClr="000000"/>
            </a:solidFill>
            <a:latin typeface="Lucida Sans"/>
            <a:ea typeface="+mn-ea"/>
            <a:cs typeface="+mn-cs"/>
          </a:endParaRPr>
        </a:p>
      </dsp:txBody>
      <dsp:txXfrm>
        <a:off x="1126910" y="2511951"/>
        <a:ext cx="1219268" cy="258922"/>
      </dsp:txXfrm>
    </dsp:sp>
    <dsp:sp modelId="{67D48017-A442-4DE7-B2E9-2516D81C1F6E}">
      <dsp:nvSpPr>
        <dsp:cNvPr id="0" name=""/>
        <dsp:cNvSpPr/>
      </dsp:nvSpPr>
      <dsp:spPr>
        <a:xfrm>
          <a:off x="1981571" y="1749883"/>
          <a:ext cx="1994105" cy="462502"/>
        </a:xfrm>
        <a:prstGeom prst="roundRect">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Uavhengig kontroll :</a:t>
          </a:r>
        </a:p>
        <a:p>
          <a:pPr marL="0" lvl="0" indent="0" algn="l" defTabSz="400050">
            <a:lnSpc>
              <a:spcPct val="90000"/>
            </a:lnSpc>
            <a:spcBef>
              <a:spcPct val="0"/>
            </a:spcBef>
            <a:spcAft>
              <a:spcPct val="35000"/>
            </a:spcAft>
            <a:buNone/>
          </a:pPr>
          <a:r>
            <a:rPr lang="nb-NO" sz="800" b="0" kern="1200" dirty="0">
              <a:solidFill>
                <a:sysClr val="windowText" lastClr="000000"/>
              </a:solidFill>
              <a:latin typeface="Lucida Sans"/>
              <a:ea typeface="+mn-ea"/>
              <a:cs typeface="+mn-cs"/>
            </a:rPr>
            <a:t>               - Risikostyring/risikokontroll</a:t>
          </a:r>
        </a:p>
        <a:p>
          <a:pPr marL="0" lvl="0" indent="0" algn="l" defTabSz="400050">
            <a:lnSpc>
              <a:spcPct val="90000"/>
            </a:lnSpc>
            <a:spcBef>
              <a:spcPct val="0"/>
            </a:spcBef>
            <a:spcAft>
              <a:spcPct val="35000"/>
            </a:spcAft>
            <a:buNone/>
          </a:pPr>
          <a:r>
            <a:rPr lang="nb-NO" sz="800" b="0" kern="1200" dirty="0">
              <a:solidFill>
                <a:sysClr val="windowText" lastClr="000000"/>
              </a:solidFill>
              <a:latin typeface="Lucida Sans"/>
              <a:ea typeface="+mn-ea"/>
              <a:cs typeface="+mn-cs"/>
            </a:rPr>
            <a:t>               - </a:t>
          </a:r>
          <a:r>
            <a:rPr lang="nb-NO" sz="800" b="0" kern="1200" dirty="0" err="1">
              <a:solidFill>
                <a:sysClr val="windowText" lastClr="000000"/>
              </a:solidFill>
              <a:latin typeface="Lucida Sans"/>
              <a:ea typeface="+mn-ea"/>
              <a:cs typeface="+mn-cs"/>
            </a:rPr>
            <a:t>Compliance</a:t>
          </a:r>
          <a:endParaRPr lang="nb-NO" sz="800" b="0" kern="1200" dirty="0">
            <a:solidFill>
              <a:sysClr val="windowText" lastClr="000000"/>
            </a:solidFill>
            <a:latin typeface="Lucida Sans"/>
            <a:ea typeface="+mn-ea"/>
            <a:cs typeface="+mn-cs"/>
          </a:endParaRPr>
        </a:p>
      </dsp:txBody>
      <dsp:txXfrm>
        <a:off x="2004148" y="1772460"/>
        <a:ext cx="1948951" cy="417348"/>
      </dsp:txXfrm>
    </dsp:sp>
    <dsp:sp modelId="{C44A48C7-544E-4878-ABE5-BD4C1F08E05C}">
      <dsp:nvSpPr>
        <dsp:cNvPr id="0" name=""/>
        <dsp:cNvSpPr/>
      </dsp:nvSpPr>
      <dsp:spPr>
        <a:xfrm>
          <a:off x="1210758" y="481337"/>
          <a:ext cx="1104546" cy="452443"/>
        </a:xfrm>
        <a:prstGeom prst="roundRect">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Revisjons- og risikoutvalget</a:t>
          </a:r>
        </a:p>
      </dsp:txBody>
      <dsp:txXfrm>
        <a:off x="1232844" y="503423"/>
        <a:ext cx="1060374" cy="408271"/>
      </dsp:txXfrm>
    </dsp:sp>
    <dsp:sp modelId="{792457CF-BFE1-4933-9D87-F7C92A9CA25F}">
      <dsp:nvSpPr>
        <dsp:cNvPr id="0" name=""/>
        <dsp:cNvSpPr/>
      </dsp:nvSpPr>
      <dsp:spPr>
        <a:xfrm>
          <a:off x="2777402" y="762050"/>
          <a:ext cx="932833" cy="613092"/>
        </a:xfrm>
        <a:prstGeom prst="flowChartDocument">
          <a:avLst/>
        </a:prstGeom>
        <a:solidFill>
          <a:srgbClr val="FFC0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Risikorapport</a:t>
          </a:r>
        </a:p>
        <a:p>
          <a:pPr marL="0" lvl="0" indent="0" algn="ctr" defTabSz="400050">
            <a:lnSpc>
              <a:spcPct val="90000"/>
            </a:lnSpc>
            <a:spcBef>
              <a:spcPct val="0"/>
            </a:spcBef>
            <a:spcAft>
              <a:spcPct val="35000"/>
            </a:spcAft>
            <a:buNone/>
          </a:pPr>
          <a:r>
            <a:rPr lang="nb-NO" sz="900" b="1" kern="1200" dirty="0">
              <a:solidFill>
                <a:sysClr val="windowText" lastClr="000000"/>
              </a:solidFill>
              <a:latin typeface="Lucida Sans"/>
              <a:ea typeface="+mn-ea"/>
              <a:cs typeface="+mn-cs"/>
            </a:rPr>
            <a:t>Brudd på rammer</a:t>
          </a:r>
        </a:p>
      </dsp:txBody>
      <dsp:txXfrm>
        <a:off x="2777402" y="762050"/>
        <a:ext cx="932833" cy="4916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ika Forsikring Farger">
      <a:dk1>
        <a:sysClr val="windowText" lastClr="000000"/>
      </a:dk1>
      <a:lt1>
        <a:sysClr val="window" lastClr="FFFFFF"/>
      </a:lt1>
      <a:dk2>
        <a:srgbClr val="004F59"/>
      </a:dk2>
      <a:lt2>
        <a:srgbClr val="84BD00"/>
      </a:lt2>
      <a:accent1>
        <a:srgbClr val="84BD00"/>
      </a:accent1>
      <a:accent2>
        <a:srgbClr val="004F59"/>
      </a:accent2>
      <a:accent3>
        <a:srgbClr val="D3D0CD"/>
      </a:accent3>
      <a:accent4>
        <a:srgbClr val="7F3035"/>
      </a:accent4>
      <a:accent5>
        <a:srgbClr val="9CDBD9"/>
      </a:accent5>
      <a:accent6>
        <a:srgbClr val="007A33"/>
      </a:accent6>
      <a:hlink>
        <a:srgbClr val="7F3035"/>
      </a:hlink>
      <a:folHlink>
        <a:srgbClr val="9CDBD9"/>
      </a:folHlink>
    </a:clrScheme>
    <a:fontScheme name="Lucida Sans">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agomr_x00e5_de xmlns="46ec9bd5-88b7-4452-8722-e0a6d4d2e2c6">Regnskap og rapportering</Fagomr_x00e5_de>
    <_x0074_jo3 xmlns="46ec9bd5-88b7-4452-8722-e0a6d4d2e2c6">Februar 2022</_x0074_jo3>
    <Sistendret xmlns="46ec9bd5-88b7-4452-8722-e0a6d4d2e2c6">2021-02-16T23:00:00+00:00</Sistendr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root>
  <Tittel>Forsikringsvilkår Bolig</Tittel>
  <dato/>
  <raadgiver/>
  <eikaSelskap/>
  <clientName/>
  <projectName/>
  <docTitle/>
  <typeOfDoc>Pilar III</typeOfDoc>
  <selskapsnavn>Selbu Sparebank</selskapsnavn>
</root>
</file>

<file path=customXml/item5.xml><?xml version="1.0" encoding="utf-8"?>
<ct:contentTypeSchema xmlns:ct="http://schemas.microsoft.com/office/2006/metadata/contentType" xmlns:ma="http://schemas.microsoft.com/office/2006/metadata/properties/metaAttributes" ct:_="" ma:_="" ma:contentTypeName="Dokument" ma:contentTypeID="0x01010007F010DB2F8612409ACA0AAFD619AFBB" ma:contentTypeVersion="8" ma:contentTypeDescription="Opprett et nytt dokument." ma:contentTypeScope="" ma:versionID="85564824cfbd1ecc4ee8d313cdb43179">
  <xsd:schema xmlns:xsd="http://www.w3.org/2001/XMLSchema" xmlns:xs="http://www.w3.org/2001/XMLSchema" xmlns:p="http://schemas.microsoft.com/office/2006/metadata/properties" xmlns:ns2="46ec9bd5-88b7-4452-8722-e0a6d4d2e2c6" xmlns:ns3="2fb4155a-db87-476c-b681-2bf6bb6d3b92" targetNamespace="http://schemas.microsoft.com/office/2006/metadata/properties" ma:root="true" ma:fieldsID="812a4a6147bea329e13fb29f121ae78e" ns2:_="" ns3:_="">
    <xsd:import namespace="46ec9bd5-88b7-4452-8722-e0a6d4d2e2c6"/>
    <xsd:import namespace="2fb4155a-db87-476c-b681-2bf6bb6d3b92"/>
    <xsd:element name="properties">
      <xsd:complexType>
        <xsd:sequence>
          <xsd:element name="documentManagement">
            <xsd:complexType>
              <xsd:all>
                <xsd:element ref="ns2:MediaServiceMetadata" minOccurs="0"/>
                <xsd:element ref="ns2:MediaServiceFastMetadata" minOccurs="0"/>
                <xsd:element ref="ns2:Fagomr_x00e5_de"/>
                <xsd:element ref="ns2:_x0074_jo3" minOccurs="0"/>
                <xsd:element ref="ns2:Sistendret"/>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c9bd5-88b7-4452-8722-e0a6d4d2e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agomr_x00e5_de" ma:index="10" ma:displayName="Fagområde" ma:internalName="Fagomr_x00e5_de">
      <xsd:simpleType>
        <xsd:restriction base="dms:Text">
          <xsd:maxLength value="255"/>
        </xsd:restriction>
      </xsd:simpleType>
    </xsd:element>
    <xsd:element name="_x0074_jo3" ma:index="11" nillable="true" ma:displayName="Neste oppdatering" ma:description="Legg inn tidspunkt for når dokumentet skal oppdateres neste gang" ma:format="Dropdown" ma:internalName="_x0074_jo3">
      <xsd:simpleType>
        <xsd:restriction base="dms:Text">
          <xsd:maxLength value="255"/>
        </xsd:restriction>
      </xsd:simpleType>
    </xsd:element>
    <xsd:element name="Sistendret" ma:index="12" ma:displayName="Sist endret" ma:format="DateOnly" ma:internalName="Sistendret">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4155a-db87-476c-b681-2bf6bb6d3b9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Nav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1AC34-52FF-4708-BAFD-F44EC3CDBBCC}">
  <ds:schemaRefs>
    <ds:schemaRef ds:uri="http://schemas.microsoft.com/sharepoint/v3/contenttype/forms"/>
  </ds:schemaRefs>
</ds:datastoreItem>
</file>

<file path=customXml/itemProps2.xml><?xml version="1.0" encoding="utf-8"?>
<ds:datastoreItem xmlns:ds="http://schemas.openxmlformats.org/officeDocument/2006/customXml" ds:itemID="{7269B570-E149-4721-A57B-AC5604E776D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6ec9bd5-88b7-4452-8722-e0a6d4d2e2c6"/>
    <ds:schemaRef ds:uri="2fb4155a-db87-476c-b681-2bf6bb6d3b92"/>
    <ds:schemaRef ds:uri="http://www.w3.org/XML/1998/namespace"/>
    <ds:schemaRef ds:uri="http://purl.org/dc/terms/"/>
  </ds:schemaRefs>
</ds:datastoreItem>
</file>

<file path=customXml/itemProps3.xml><?xml version="1.0" encoding="utf-8"?>
<ds:datastoreItem xmlns:ds="http://schemas.openxmlformats.org/officeDocument/2006/customXml" ds:itemID="{9B661432-3A8C-48A0-AAC0-066ACFD36D68}">
  <ds:schemaRefs>
    <ds:schemaRef ds:uri="http://schemas.openxmlformats.org/officeDocument/2006/bibliography"/>
  </ds:schemaRefs>
</ds:datastoreItem>
</file>

<file path=customXml/itemProps4.xml><?xml version="1.0" encoding="utf-8"?>
<ds:datastoreItem xmlns:ds="http://schemas.openxmlformats.org/officeDocument/2006/customXml" ds:itemID="{796F441D-F086-4111-BFE0-028A4FBBD963}">
  <ds:schemaRefs/>
</ds:datastoreItem>
</file>

<file path=customXml/itemProps5.xml><?xml version="1.0" encoding="utf-8"?>
<ds:datastoreItem xmlns:ds="http://schemas.openxmlformats.org/officeDocument/2006/customXml" ds:itemID="{63BC8A9E-26E6-4217-A966-93750DF3C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c9bd5-88b7-4452-8722-e0a6d4d2e2c6"/>
    <ds:schemaRef ds:uri="2fb4155a-db87-476c-b681-2bf6bb6d3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Eika_Document_template.dotx</Template>
  <TotalTime>215</TotalTime>
  <Pages>20</Pages>
  <Words>4043</Words>
  <Characters>21432</Characters>
  <Application>Microsoft Office Word</Application>
  <DocSecurity>0</DocSecurity>
  <PresentationFormat/>
  <Lines>178</Lines>
  <Paragraphs>50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Eika Forsikring</Company>
  <LinksUpToDate>false</LinksUpToDate>
  <CharactersWithSpaces>25425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Viken</dc:creator>
  <dc:description>Template by addpoint.no</dc:description>
  <cp:lastModifiedBy>Flønes Solfrid (Selbu Sparebank)</cp:lastModifiedBy>
  <cp:revision>4</cp:revision>
  <dcterms:created xsi:type="dcterms:W3CDTF">2021-03-10T09:17:00Z</dcterms:created>
  <dcterms:modified xsi:type="dcterms:W3CDTF">2021-03-10T14:05:00Z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0x01010007F010DB2F8612409ACA0AAFD619AFBB</vt:lpwstr>
  </property>
</Properties>
</file>